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F48" w:rsidRDefault="007C1849">
      <w:pPr>
        <w:pBdr>
          <w:top w:val="single" w:sz="4" w:space="0" w:color="auto"/>
          <w:left w:val="single" w:sz="4" w:space="4" w:color="auto"/>
          <w:bottom w:val="single" w:sz="4" w:space="8" w:color="auto"/>
          <w:right w:val="single" w:sz="4" w:space="0" w:color="auto"/>
        </w:pBdr>
        <w:rPr>
          <w:rFonts w:cs="Arial"/>
          <w:sz w:val="24"/>
        </w:rPr>
      </w:pPr>
      <w:r w:rsidRPr="007C1849">
        <w:rPr>
          <w:rFonts w:cs="Arial"/>
          <w:b/>
          <w:bCs/>
          <w:noProof/>
          <w:sz w:val="24"/>
        </w:rPr>
        <w:pict>
          <v:shape id="_x0000_s1027" style="position:absolute;margin-left:289.15pt;margin-top:1.15pt;width:.75pt;height:264.25pt;z-index:251657728" coordsize="15,5737" path="m,l15,5737e" filled="f">
            <v:path arrowok="t"/>
          </v:shape>
        </w:pict>
      </w:r>
      <w:r w:rsidR="00F429FF">
        <w:rPr>
          <w:rFonts w:cs="Arial"/>
          <w:sz w:val="24"/>
        </w:rPr>
        <w:t xml:space="preserve">  </w:t>
      </w:r>
      <w:r w:rsidR="00351F48">
        <w:rPr>
          <w:rFonts w:cs="Arial"/>
          <w:sz w:val="24"/>
        </w:rPr>
        <w:t>County Court, El Paso County, Colorado</w:t>
      </w:r>
      <w:r w:rsidR="00351F48">
        <w:rPr>
          <w:rFonts w:cs="Arial"/>
          <w:sz w:val="24"/>
        </w:rPr>
        <w:tab/>
      </w:r>
      <w:r w:rsidR="00351F48">
        <w:rPr>
          <w:rFonts w:cs="Arial"/>
          <w:sz w:val="24"/>
        </w:rPr>
        <w:tab/>
      </w:r>
    </w:p>
    <w:p w:rsidR="00351F48" w:rsidRDefault="00351F48">
      <w:pPr>
        <w:pBdr>
          <w:top w:val="single" w:sz="4" w:space="0" w:color="auto"/>
          <w:left w:val="single" w:sz="4" w:space="4" w:color="auto"/>
          <w:bottom w:val="single" w:sz="4" w:space="8" w:color="auto"/>
          <w:right w:val="single" w:sz="4" w:space="0" w:color="auto"/>
        </w:pBdr>
        <w:rPr>
          <w:rFonts w:cs="Arial"/>
          <w:sz w:val="24"/>
        </w:rPr>
      </w:pPr>
      <w:smartTag w:uri="urn:schemas-microsoft-com:office:smarttags" w:element="address">
        <w:smartTag w:uri="urn:schemas-microsoft-com:office:smarttags" w:element="Street">
          <w:r>
            <w:rPr>
              <w:rFonts w:cs="Arial"/>
              <w:sz w:val="24"/>
            </w:rPr>
            <w:t>P.O. Box</w:t>
          </w:r>
        </w:smartTag>
        <w:r>
          <w:rPr>
            <w:rFonts w:cs="Arial"/>
            <w:sz w:val="24"/>
          </w:rPr>
          <w:t xml:space="preserve"> 2980</w:t>
        </w:r>
      </w:smartTag>
    </w:p>
    <w:p w:rsidR="00351F48" w:rsidRDefault="00351F48">
      <w:pPr>
        <w:pBdr>
          <w:top w:val="single" w:sz="4" w:space="0" w:color="auto"/>
          <w:left w:val="single" w:sz="4" w:space="4" w:color="auto"/>
          <w:bottom w:val="single" w:sz="4" w:space="8" w:color="auto"/>
          <w:right w:val="single" w:sz="4" w:space="0" w:color="auto"/>
        </w:pBdr>
        <w:rPr>
          <w:rFonts w:cs="Arial"/>
          <w:sz w:val="24"/>
        </w:rPr>
      </w:pPr>
      <w:smartTag w:uri="urn:schemas-microsoft-com:office:smarttags" w:element="place">
        <w:smartTag w:uri="urn:schemas-microsoft-com:office:smarttags" w:element="City">
          <w:r>
            <w:rPr>
              <w:rFonts w:cs="Arial"/>
              <w:sz w:val="24"/>
            </w:rPr>
            <w:t>Colorado Springs</w:t>
          </w:r>
        </w:smartTag>
        <w:r>
          <w:rPr>
            <w:rFonts w:cs="Arial"/>
            <w:sz w:val="24"/>
          </w:rPr>
          <w:t xml:space="preserve">, </w:t>
        </w:r>
        <w:smartTag w:uri="urn:schemas-microsoft-com:office:smarttags" w:element="State">
          <w:r>
            <w:rPr>
              <w:rFonts w:cs="Arial"/>
              <w:sz w:val="24"/>
            </w:rPr>
            <w:t>CO</w:t>
          </w:r>
        </w:smartTag>
        <w:r>
          <w:rPr>
            <w:rFonts w:cs="Arial"/>
            <w:sz w:val="24"/>
          </w:rPr>
          <w:t xml:space="preserve">  </w:t>
        </w:r>
        <w:smartTag w:uri="urn:schemas-microsoft-com:office:smarttags" w:element="PostalCode">
          <w:r>
            <w:rPr>
              <w:rFonts w:cs="Arial"/>
              <w:sz w:val="24"/>
            </w:rPr>
            <w:t>80901-2980</w:t>
          </w:r>
        </w:smartTag>
      </w:smartTag>
    </w:p>
    <w:p w:rsidR="00351F48" w:rsidRDefault="00351F48">
      <w:pPr>
        <w:pBdr>
          <w:top w:val="single" w:sz="4" w:space="0" w:color="auto"/>
          <w:left w:val="single" w:sz="4" w:space="4" w:color="auto"/>
          <w:bottom w:val="single" w:sz="4" w:space="8" w:color="auto"/>
          <w:right w:val="single" w:sz="4" w:space="0" w:color="auto"/>
        </w:pBdr>
        <w:rPr>
          <w:rFonts w:cs="Arial"/>
          <w:sz w:val="24"/>
        </w:rPr>
      </w:pPr>
      <w:r>
        <w:rPr>
          <w:rFonts w:cs="Arial"/>
          <w:sz w:val="24"/>
          <w:u w:val="single"/>
        </w:rPr>
        <w:t xml:space="preserve">719-448-7577                                                                </w:t>
      </w:r>
      <w:r>
        <w:rPr>
          <w:rFonts w:cs="Arial"/>
          <w:sz w:val="24"/>
        </w:rPr>
        <w:t xml:space="preserve">                                                              </w:t>
      </w:r>
    </w:p>
    <w:p w:rsidR="00351F48" w:rsidRPr="0083759A" w:rsidRDefault="00351F48">
      <w:pPr>
        <w:pBdr>
          <w:top w:val="single" w:sz="4" w:space="0" w:color="auto"/>
          <w:left w:val="single" w:sz="4" w:space="4" w:color="auto"/>
          <w:bottom w:val="single" w:sz="4" w:space="8" w:color="auto"/>
          <w:right w:val="single" w:sz="4" w:space="0" w:color="auto"/>
        </w:pBdr>
        <w:rPr>
          <w:rFonts w:cs="Arial"/>
          <w:sz w:val="16"/>
          <w:szCs w:val="16"/>
        </w:rPr>
      </w:pPr>
    </w:p>
    <w:p w:rsidR="00351F48" w:rsidRDefault="00351F48">
      <w:pPr>
        <w:pBdr>
          <w:top w:val="single" w:sz="4" w:space="0" w:color="auto"/>
          <w:left w:val="single" w:sz="4" w:space="4" w:color="auto"/>
          <w:bottom w:val="single" w:sz="4" w:space="8" w:color="auto"/>
          <w:right w:val="single" w:sz="4" w:space="0" w:color="auto"/>
        </w:pBdr>
        <w:rPr>
          <w:rFonts w:cs="Arial"/>
          <w:sz w:val="24"/>
        </w:rPr>
      </w:pPr>
      <w:r>
        <w:rPr>
          <w:rFonts w:cs="Arial"/>
          <w:sz w:val="24"/>
        </w:rPr>
        <w:t xml:space="preserve">THE PEOPLE OF THE STATE OF </w:t>
      </w:r>
      <w:smartTag w:uri="urn:schemas-microsoft-com:office:smarttags" w:element="State">
        <w:smartTag w:uri="urn:schemas-microsoft-com:office:smarttags" w:element="place">
          <w:r>
            <w:rPr>
              <w:rFonts w:cs="Arial"/>
              <w:sz w:val="24"/>
            </w:rPr>
            <w:t>COLORADO</w:t>
          </w:r>
        </w:smartTag>
      </w:smartTag>
      <w:r>
        <w:rPr>
          <w:rFonts w:cs="Arial"/>
          <w:sz w:val="24"/>
        </w:rPr>
        <w:t>,</w:t>
      </w:r>
    </w:p>
    <w:p w:rsidR="00351F48" w:rsidRPr="0083759A" w:rsidRDefault="00351F48">
      <w:pPr>
        <w:pBdr>
          <w:top w:val="single" w:sz="4" w:space="0" w:color="auto"/>
          <w:left w:val="single" w:sz="4" w:space="4" w:color="auto"/>
          <w:bottom w:val="single" w:sz="4" w:space="8" w:color="auto"/>
          <w:right w:val="single" w:sz="4" w:space="0" w:color="auto"/>
        </w:pBdr>
        <w:rPr>
          <w:rFonts w:cs="Arial"/>
          <w:sz w:val="16"/>
          <w:szCs w:val="16"/>
        </w:rPr>
      </w:pPr>
    </w:p>
    <w:p w:rsidR="00351F48" w:rsidRDefault="00351F48">
      <w:pPr>
        <w:pBdr>
          <w:top w:val="single" w:sz="4" w:space="0" w:color="auto"/>
          <w:left w:val="single" w:sz="4" w:space="4" w:color="auto"/>
          <w:bottom w:val="single" w:sz="4" w:space="8" w:color="auto"/>
          <w:right w:val="single" w:sz="4" w:space="0" w:color="auto"/>
        </w:pBdr>
        <w:rPr>
          <w:rFonts w:cs="Arial"/>
          <w:sz w:val="24"/>
        </w:rPr>
      </w:pPr>
      <w:r>
        <w:rPr>
          <w:rFonts w:cs="Arial"/>
          <w:sz w:val="24"/>
        </w:rPr>
        <w:t>Plaintiff,</w:t>
      </w:r>
    </w:p>
    <w:p w:rsidR="00351F48" w:rsidRPr="0083759A" w:rsidRDefault="00351F48">
      <w:pPr>
        <w:pBdr>
          <w:top w:val="single" w:sz="4" w:space="0" w:color="auto"/>
          <w:left w:val="single" w:sz="4" w:space="4" w:color="auto"/>
          <w:bottom w:val="single" w:sz="4" w:space="8" w:color="auto"/>
          <w:right w:val="single" w:sz="4" w:space="0" w:color="auto"/>
        </w:pBdr>
        <w:rPr>
          <w:rFonts w:cs="Arial"/>
          <w:sz w:val="16"/>
          <w:szCs w:val="16"/>
        </w:rPr>
      </w:pPr>
    </w:p>
    <w:p w:rsidR="00351F48" w:rsidRDefault="00351F48">
      <w:pPr>
        <w:pBdr>
          <w:top w:val="single" w:sz="4" w:space="0" w:color="auto"/>
          <w:left w:val="single" w:sz="4" w:space="4" w:color="auto"/>
          <w:bottom w:val="single" w:sz="4" w:space="8" w:color="auto"/>
          <w:right w:val="single" w:sz="4" w:space="0" w:color="auto"/>
        </w:pBdr>
        <w:rPr>
          <w:rFonts w:cs="Arial"/>
          <w:sz w:val="24"/>
        </w:rPr>
      </w:pPr>
      <w:r>
        <w:rPr>
          <w:rFonts w:cs="Arial"/>
          <w:sz w:val="24"/>
        </w:rPr>
        <w:t>v.</w:t>
      </w:r>
    </w:p>
    <w:p w:rsidR="00351F48" w:rsidRPr="0083759A" w:rsidRDefault="00351F48">
      <w:pPr>
        <w:pBdr>
          <w:top w:val="single" w:sz="4" w:space="0" w:color="auto"/>
          <w:left w:val="single" w:sz="4" w:space="4" w:color="auto"/>
          <w:bottom w:val="single" w:sz="4" w:space="8" w:color="auto"/>
          <w:right w:val="single" w:sz="4" w:space="0" w:color="auto"/>
        </w:pBdr>
        <w:rPr>
          <w:rFonts w:cs="Arial"/>
          <w:sz w:val="16"/>
          <w:szCs w:val="16"/>
        </w:rPr>
      </w:pPr>
    </w:p>
    <w:p w:rsidR="00351F48" w:rsidRDefault="000F6007">
      <w:pPr>
        <w:pBdr>
          <w:top w:val="single" w:sz="4" w:space="0" w:color="auto"/>
          <w:left w:val="single" w:sz="4" w:space="4" w:color="auto"/>
          <w:bottom w:val="single" w:sz="4" w:space="8" w:color="auto"/>
          <w:right w:val="single" w:sz="4" w:space="0" w:color="auto"/>
        </w:pBdr>
        <w:rPr>
          <w:rFonts w:cs="Arial"/>
          <w:sz w:val="24"/>
        </w:rPr>
      </w:pPr>
      <w:r>
        <w:rPr>
          <w:rFonts w:cs="Arial"/>
          <w:sz w:val="24"/>
        </w:rPr>
        <w:t>*****</w:t>
      </w:r>
      <w:r w:rsidR="00F777E6">
        <w:rPr>
          <w:rFonts w:cs="Arial"/>
          <w:sz w:val="24"/>
        </w:rPr>
        <w:t xml:space="preserve"> </w:t>
      </w:r>
      <w:r>
        <w:rPr>
          <w:rFonts w:cs="Arial"/>
          <w:sz w:val="24"/>
        </w:rPr>
        <w:t>*****</w:t>
      </w:r>
      <w:r w:rsidR="00764952">
        <w:rPr>
          <w:rFonts w:cs="Arial"/>
          <w:sz w:val="24"/>
        </w:rPr>
        <w:t>,</w:t>
      </w:r>
    </w:p>
    <w:p w:rsidR="00351F48" w:rsidRPr="0083759A" w:rsidRDefault="00351F48">
      <w:pPr>
        <w:pBdr>
          <w:top w:val="single" w:sz="4" w:space="0" w:color="auto"/>
          <w:left w:val="single" w:sz="4" w:space="4" w:color="auto"/>
          <w:bottom w:val="single" w:sz="4" w:space="8" w:color="auto"/>
          <w:right w:val="single" w:sz="4" w:space="0" w:color="auto"/>
        </w:pBdr>
        <w:rPr>
          <w:rFonts w:cs="Arial"/>
          <w:sz w:val="16"/>
          <w:szCs w:val="16"/>
        </w:rPr>
      </w:pPr>
    </w:p>
    <w:p w:rsidR="00351F48" w:rsidRDefault="00351F48">
      <w:pPr>
        <w:pBdr>
          <w:top w:val="single" w:sz="4" w:space="0" w:color="auto"/>
          <w:left w:val="single" w:sz="4" w:space="4" w:color="auto"/>
          <w:bottom w:val="single" w:sz="4" w:space="8" w:color="auto"/>
          <w:right w:val="single" w:sz="4" w:space="0" w:color="auto"/>
        </w:pBdr>
        <w:rPr>
          <w:rFonts w:cs="Arial"/>
          <w:sz w:val="24"/>
        </w:rPr>
      </w:pPr>
      <w:r>
        <w:rPr>
          <w:rFonts w:cs="Arial"/>
          <w:sz w:val="24"/>
        </w:rPr>
        <w:t>Defendant.</w:t>
      </w:r>
    </w:p>
    <w:p w:rsidR="00351F48" w:rsidRDefault="00351F48">
      <w:pPr>
        <w:pBdr>
          <w:top w:val="single" w:sz="4" w:space="0" w:color="auto"/>
          <w:left w:val="single" w:sz="4" w:space="4" w:color="auto"/>
          <w:bottom w:val="single" w:sz="4" w:space="8" w:color="auto"/>
          <w:right w:val="single" w:sz="4" w:space="0" w:color="auto"/>
        </w:pBdr>
        <w:rPr>
          <w:rFonts w:cs="Arial"/>
        </w:rPr>
      </w:pPr>
      <w:r>
        <w:rPr>
          <w:rFonts w:cs="Arial"/>
          <w:u w:val="single"/>
        </w:rPr>
        <w:t xml:space="preserve">                                                                </w:t>
      </w:r>
      <w:r w:rsidR="00F777E6">
        <w:rPr>
          <w:rFonts w:cs="Arial"/>
          <w:u w:val="single"/>
        </w:rPr>
        <w:t xml:space="preserve">                     </w:t>
      </w:r>
      <w:r>
        <w:rPr>
          <w:rFonts w:cs="Arial"/>
          <w:u w:val="single"/>
        </w:rPr>
        <w:t xml:space="preserve">COURT USE ONLY                               </w:t>
      </w:r>
    </w:p>
    <w:p w:rsidR="00351F48" w:rsidRDefault="00497383">
      <w:pPr>
        <w:pBdr>
          <w:top w:val="single" w:sz="4" w:space="0" w:color="auto"/>
          <w:left w:val="single" w:sz="4" w:space="4" w:color="auto"/>
          <w:bottom w:val="single" w:sz="4" w:space="8" w:color="auto"/>
          <w:right w:val="single" w:sz="4" w:space="0" w:color="auto"/>
        </w:pBdr>
        <w:tabs>
          <w:tab w:val="left" w:pos="6076"/>
        </w:tabs>
        <w:rPr>
          <w:rFonts w:cs="Arial"/>
          <w:sz w:val="24"/>
        </w:rPr>
      </w:pPr>
      <w:r>
        <w:rPr>
          <w:rFonts w:cs="Arial"/>
          <w:sz w:val="24"/>
        </w:rPr>
        <w:tab/>
      </w:r>
      <w:r>
        <w:rPr>
          <w:rFonts w:cs="Arial"/>
          <w:sz w:val="24"/>
        </w:rPr>
        <w:tab/>
      </w:r>
      <w:r>
        <w:rPr>
          <w:rFonts w:cs="Arial"/>
          <w:sz w:val="24"/>
        </w:rPr>
        <w:tab/>
      </w:r>
      <w:r w:rsidR="00351F48">
        <w:rPr>
          <w:rFonts w:cs="Arial"/>
          <w:sz w:val="24"/>
        </w:rPr>
        <w:tab/>
      </w:r>
      <w:r w:rsidR="00351F48">
        <w:rPr>
          <w:rFonts w:cs="Arial"/>
          <w:sz w:val="24"/>
        </w:rPr>
        <w:tab/>
        <w:t>Case No:</w:t>
      </w:r>
      <w:r w:rsidR="00C33DF7">
        <w:rPr>
          <w:rFonts w:cs="Arial"/>
          <w:sz w:val="24"/>
        </w:rPr>
        <w:t xml:space="preserve">  </w:t>
      </w:r>
    </w:p>
    <w:p w:rsidR="00497383" w:rsidRDefault="00497383">
      <w:pPr>
        <w:pBdr>
          <w:top w:val="single" w:sz="4" w:space="0" w:color="auto"/>
          <w:left w:val="single" w:sz="4" w:space="4" w:color="auto"/>
          <w:bottom w:val="single" w:sz="4" w:space="8" w:color="auto"/>
          <w:right w:val="single" w:sz="4" w:space="0" w:color="auto"/>
        </w:pBdr>
        <w:tabs>
          <w:tab w:val="left" w:pos="6076"/>
        </w:tabs>
        <w:rPr>
          <w:rFonts w:cs="Arial"/>
          <w:sz w:val="24"/>
        </w:rPr>
      </w:pPr>
      <w:r>
        <w:rPr>
          <w:rFonts w:cs="Arial"/>
          <w:sz w:val="24"/>
        </w:rPr>
        <w:tab/>
      </w:r>
      <w:r>
        <w:rPr>
          <w:rFonts w:cs="Arial"/>
          <w:sz w:val="24"/>
        </w:rPr>
        <w:tab/>
      </w:r>
      <w:r>
        <w:rPr>
          <w:rFonts w:cs="Arial"/>
          <w:sz w:val="24"/>
        </w:rPr>
        <w:tab/>
      </w:r>
      <w:r w:rsidR="00A8675A">
        <w:rPr>
          <w:rFonts w:cs="Arial"/>
          <w:sz w:val="24"/>
        </w:rPr>
        <w:tab/>
      </w:r>
    </w:p>
    <w:p w:rsidR="00351F48" w:rsidRDefault="00497383">
      <w:pPr>
        <w:pBdr>
          <w:top w:val="single" w:sz="4" w:space="0" w:color="auto"/>
          <w:left w:val="single" w:sz="4" w:space="4" w:color="auto"/>
          <w:bottom w:val="single" w:sz="4" w:space="8" w:color="auto"/>
          <w:right w:val="single" w:sz="4" w:space="0" w:color="auto"/>
        </w:pBdr>
        <w:tabs>
          <w:tab w:val="left" w:pos="6076"/>
        </w:tabs>
        <w:rPr>
          <w:rFonts w:cs="Arial"/>
          <w:sz w:val="24"/>
        </w:rPr>
      </w:pPr>
      <w:r>
        <w:rPr>
          <w:rFonts w:cs="Arial"/>
          <w:sz w:val="24"/>
        </w:rPr>
        <w:tab/>
      </w:r>
      <w:r>
        <w:rPr>
          <w:rFonts w:cs="Arial"/>
          <w:sz w:val="24"/>
        </w:rPr>
        <w:tab/>
      </w:r>
      <w:r>
        <w:rPr>
          <w:rFonts w:cs="Arial"/>
          <w:sz w:val="24"/>
        </w:rPr>
        <w:tab/>
      </w:r>
      <w:r>
        <w:rPr>
          <w:rFonts w:cs="Arial"/>
          <w:sz w:val="24"/>
        </w:rPr>
        <w:tab/>
      </w:r>
      <w:r w:rsidR="00A8675A">
        <w:rPr>
          <w:rFonts w:cs="Arial"/>
          <w:sz w:val="24"/>
        </w:rPr>
        <w:tab/>
      </w:r>
      <w:r w:rsidR="00351F48">
        <w:rPr>
          <w:rFonts w:cs="Arial"/>
          <w:sz w:val="24"/>
        </w:rPr>
        <w:t>Div:</w:t>
      </w:r>
      <w:r w:rsidR="004946B9">
        <w:rPr>
          <w:rFonts w:cs="Arial"/>
          <w:sz w:val="24"/>
        </w:rPr>
        <w:t xml:space="preserve">  </w:t>
      </w:r>
      <w:r w:rsidR="00351F48">
        <w:rPr>
          <w:rFonts w:cs="Arial"/>
          <w:sz w:val="24"/>
        </w:rPr>
        <w:t xml:space="preserve">Courtroom: </w:t>
      </w:r>
    </w:p>
    <w:p w:rsidR="00351F48" w:rsidRDefault="00351F48">
      <w:pPr>
        <w:pBdr>
          <w:top w:val="single" w:sz="4" w:space="0" w:color="auto"/>
          <w:left w:val="single" w:sz="4" w:space="4" w:color="auto"/>
          <w:bottom w:val="single" w:sz="4" w:space="8" w:color="auto"/>
          <w:right w:val="single" w:sz="4" w:space="0" w:color="auto"/>
        </w:pBdr>
        <w:tabs>
          <w:tab w:val="left" w:pos="6076"/>
        </w:tabs>
        <w:rPr>
          <w:rFonts w:cs="Arial"/>
          <w:sz w:val="20"/>
          <w:u w:val="single"/>
        </w:rPr>
      </w:pPr>
      <w:r>
        <w:rPr>
          <w:rFonts w:cs="Arial"/>
          <w:sz w:val="20"/>
          <w:u w:val="single"/>
        </w:rPr>
        <w:t xml:space="preserve">                                                                                                                                                               </w:t>
      </w:r>
    </w:p>
    <w:p w:rsidR="009F5D21" w:rsidRPr="00626C88" w:rsidRDefault="009F5D21">
      <w:pPr>
        <w:pStyle w:val="Heading1"/>
        <w:rPr>
          <w:rFonts w:ascii="Arial" w:hAnsi="Arial" w:cs="Arial"/>
          <w:sz w:val="16"/>
          <w:szCs w:val="16"/>
        </w:rPr>
      </w:pPr>
    </w:p>
    <w:p w:rsidR="00351F48" w:rsidRDefault="00433F4C">
      <w:pPr>
        <w:pStyle w:val="Heading1"/>
        <w:rPr>
          <w:rFonts w:ascii="Arial" w:hAnsi="Arial" w:cs="Arial"/>
        </w:rPr>
      </w:pPr>
      <w:r>
        <w:rPr>
          <w:rFonts w:ascii="Arial" w:hAnsi="Arial" w:cs="Arial"/>
        </w:rPr>
        <w:t>MEMORANDUM OF LAW IN SUPPORT OF MOTION TO COMPEL DISCOVERY OR, IN THE ALTERNATIVE, TO DISMISS THE CASE</w:t>
      </w:r>
    </w:p>
    <w:p w:rsidR="00351F48" w:rsidRPr="0083759A" w:rsidRDefault="00351F48">
      <w:pPr>
        <w:pStyle w:val="BodyText"/>
        <w:jc w:val="both"/>
        <w:rPr>
          <w:rFonts w:ascii="Arial" w:hAnsi="Arial" w:cs="Arial"/>
          <w:b w:val="0"/>
          <w:sz w:val="16"/>
          <w:szCs w:val="16"/>
        </w:rPr>
      </w:pPr>
    </w:p>
    <w:p w:rsidR="00433F4C" w:rsidRDefault="00433F4C" w:rsidP="00433F4C"/>
    <w:p w:rsidR="00433F4C" w:rsidRPr="0066397B" w:rsidRDefault="00433F4C" w:rsidP="0066397B">
      <w:pPr>
        <w:jc w:val="both"/>
      </w:pPr>
      <w:r>
        <w:tab/>
      </w:r>
      <w:r w:rsidR="000F6007">
        <w:t>*****</w:t>
      </w:r>
      <w:r w:rsidR="00F777E6">
        <w:t xml:space="preserve"> </w:t>
      </w:r>
      <w:r w:rsidR="000F6007">
        <w:t>*****</w:t>
      </w:r>
      <w:r w:rsidR="00F777E6">
        <w:t>,</w:t>
      </w:r>
      <w:r>
        <w:t xml:space="preserve"> the accused, through counsel Timothy R. Bussey respectfully requests that the court compel the prosecution to disclose the records and information listed </w:t>
      </w:r>
      <w:r w:rsidR="0066397B">
        <w:t>in Attachment A or, in the alternative, to dismiss the charges:</w:t>
      </w:r>
    </w:p>
    <w:p w:rsidR="00433F4C" w:rsidRPr="00F777E6" w:rsidRDefault="00433F4C" w:rsidP="00433F4C">
      <w:pPr>
        <w:jc w:val="center"/>
        <w:rPr>
          <w:b/>
          <w:u w:val="single"/>
        </w:rPr>
      </w:pPr>
    </w:p>
    <w:p w:rsidR="00433F4C" w:rsidRPr="00F777E6" w:rsidRDefault="00433F4C" w:rsidP="00433F4C">
      <w:pPr>
        <w:jc w:val="center"/>
        <w:rPr>
          <w:b/>
        </w:rPr>
      </w:pPr>
      <w:r w:rsidRPr="00F777E6">
        <w:rPr>
          <w:b/>
          <w:u w:val="single"/>
        </w:rPr>
        <w:t>PERTINENT FACTS</w:t>
      </w:r>
    </w:p>
    <w:p w:rsidR="00433F4C" w:rsidRDefault="00433F4C" w:rsidP="00433F4C"/>
    <w:p w:rsidR="00433F4C" w:rsidRDefault="00433F4C" w:rsidP="00433F4C">
      <w:pPr>
        <w:ind w:firstLine="720"/>
        <w:jc w:val="both"/>
      </w:pPr>
      <w:r>
        <w:t>1.</w:t>
      </w:r>
      <w:r>
        <w:tab/>
        <w:t xml:space="preserve">Cynthia </w:t>
      </w:r>
      <w:proofErr w:type="spellStart"/>
      <w:r>
        <w:t>Burbach</w:t>
      </w:r>
      <w:proofErr w:type="spellEnd"/>
      <w:r>
        <w:t xml:space="preserve"> is the Toxicology Laboratory Supervisor at the Colorado Department of Public Health and Environment.</w:t>
      </w:r>
    </w:p>
    <w:p w:rsidR="00433F4C" w:rsidRDefault="00433F4C" w:rsidP="00433F4C">
      <w:pPr>
        <w:jc w:val="both"/>
      </w:pPr>
    </w:p>
    <w:p w:rsidR="00433F4C" w:rsidRDefault="00433F4C" w:rsidP="00433F4C">
      <w:pPr>
        <w:ind w:firstLine="720"/>
        <w:jc w:val="both"/>
      </w:pPr>
      <w:r>
        <w:t>2.</w:t>
      </w:r>
      <w:r>
        <w:tab/>
        <w:t xml:space="preserve">The defense has learned that on March 21, 2012, Ms. </w:t>
      </w:r>
      <w:proofErr w:type="spellStart"/>
      <w:r>
        <w:t>Burbach</w:t>
      </w:r>
      <w:proofErr w:type="spellEnd"/>
      <w:r>
        <w:t xml:space="preserve"> issued an email to Chris </w:t>
      </w:r>
      <w:proofErr w:type="spellStart"/>
      <w:r>
        <w:t>Halsor</w:t>
      </w:r>
      <w:proofErr w:type="spellEnd"/>
      <w:r>
        <w:t>, who is a representative of the Colorado District Attorneys Counsel.  (</w:t>
      </w:r>
      <w:r w:rsidRPr="00980E01">
        <w:rPr>
          <w:i/>
        </w:rPr>
        <w:t>See</w:t>
      </w:r>
      <w:r>
        <w:t xml:space="preserve"> "Attachment </w:t>
      </w:r>
      <w:r w:rsidR="00F249D4">
        <w:t>B</w:t>
      </w:r>
      <w:r>
        <w:t>")</w:t>
      </w:r>
    </w:p>
    <w:p w:rsidR="00433F4C" w:rsidRDefault="00433F4C" w:rsidP="00433F4C">
      <w:pPr>
        <w:jc w:val="both"/>
      </w:pPr>
    </w:p>
    <w:p w:rsidR="00433F4C" w:rsidRDefault="00433F4C" w:rsidP="00433F4C">
      <w:pPr>
        <w:ind w:firstLine="720"/>
        <w:jc w:val="both"/>
      </w:pPr>
      <w:r>
        <w:t xml:space="preserve">3. </w:t>
      </w:r>
      <w:r>
        <w:tab/>
        <w:t xml:space="preserve">In her email of March 21, Ms. </w:t>
      </w:r>
      <w:proofErr w:type="spellStart"/>
      <w:r>
        <w:t>Burbach</w:t>
      </w:r>
      <w:proofErr w:type="spellEnd"/>
      <w:r>
        <w:t xml:space="preserve"> stated it had been "brought to my attention" that a CDPHE laboratory technician named Mitchell Fox-Rivera had committed laboratory error affecting at least "several" chemical blood tests.</w:t>
      </w:r>
      <w:r w:rsidR="00F429FF">
        <w:t xml:space="preserve"> No underlying information as to how this was “brought to” her attention was provided in the email.</w:t>
      </w:r>
    </w:p>
    <w:p w:rsidR="00433F4C" w:rsidRDefault="00433F4C" w:rsidP="00433F4C">
      <w:pPr>
        <w:jc w:val="both"/>
      </w:pPr>
    </w:p>
    <w:p w:rsidR="00433F4C" w:rsidRDefault="00433F4C" w:rsidP="00433F4C">
      <w:pPr>
        <w:ind w:firstLine="720"/>
        <w:jc w:val="both"/>
      </w:pPr>
      <w:r>
        <w:lastRenderedPageBreak/>
        <w:t>4.</w:t>
      </w:r>
      <w:r>
        <w:tab/>
        <w:t xml:space="preserve">Ms. </w:t>
      </w:r>
      <w:proofErr w:type="spellStart"/>
      <w:r>
        <w:t>Burbach</w:t>
      </w:r>
      <w:proofErr w:type="spellEnd"/>
      <w:r>
        <w:t xml:space="preserve"> stated that Mr. Fox-Rivera had conducted approximately 1,700 chemical BAC tests, and that the Department intended to re-test them all.</w:t>
      </w:r>
    </w:p>
    <w:p w:rsidR="00433F4C" w:rsidRDefault="00433F4C" w:rsidP="00433F4C">
      <w:pPr>
        <w:jc w:val="both"/>
      </w:pPr>
    </w:p>
    <w:p w:rsidR="00433F4C" w:rsidRDefault="00433F4C" w:rsidP="00433F4C">
      <w:pPr>
        <w:ind w:firstLine="720"/>
        <w:jc w:val="both"/>
      </w:pPr>
      <w:r>
        <w:t>5.</w:t>
      </w:r>
      <w:r>
        <w:tab/>
        <w:t xml:space="preserve">She advised Mr. </w:t>
      </w:r>
      <w:proofErr w:type="spellStart"/>
      <w:r>
        <w:t>Halsor</w:t>
      </w:r>
      <w:proofErr w:type="spellEnd"/>
      <w:r>
        <w:t xml:space="preserve"> that any prosecutors whose cases involved lab results produced by Mr. Fox-Rivera could contact CDPHE to obtain a re-test.</w:t>
      </w:r>
    </w:p>
    <w:p w:rsidR="00433F4C" w:rsidRDefault="00433F4C" w:rsidP="00433F4C">
      <w:pPr>
        <w:jc w:val="both"/>
      </w:pPr>
    </w:p>
    <w:p w:rsidR="00433F4C" w:rsidRDefault="00433F4C" w:rsidP="00433F4C">
      <w:pPr>
        <w:ind w:firstLine="720"/>
        <w:jc w:val="both"/>
      </w:pPr>
      <w:r>
        <w:t>6.</w:t>
      </w:r>
      <w:r>
        <w:tab/>
        <w:t xml:space="preserve">Through an article in the </w:t>
      </w:r>
      <w:r w:rsidRPr="00637DD6">
        <w:rPr>
          <w:i/>
        </w:rPr>
        <w:t>Denver Post</w:t>
      </w:r>
      <w:r>
        <w:t>, the defense has also learned that the technician, Mr. Fox-Rivera, wa</w:t>
      </w:r>
      <w:r w:rsidR="00F777E6">
        <w:t xml:space="preserve">s dismissed from his employment </w:t>
      </w:r>
      <w:r>
        <w:t xml:space="preserve">at CDPHE.  </w:t>
      </w:r>
      <w:r w:rsidRPr="008D71C9">
        <w:rPr>
          <w:i/>
        </w:rPr>
        <w:t>See</w:t>
      </w:r>
      <w:r>
        <w:t xml:space="preserve"> h</w:t>
      </w:r>
      <w:r w:rsidRPr="008D71C9">
        <w:t>ttp://www.denverpost.com/news/ci_20518200/colo-lab-tech-blames-boss-mistakes-dui-blood</w:t>
      </w:r>
      <w:r>
        <w:t xml:space="preserve"> (last accessed May 3, 2012).</w:t>
      </w:r>
    </w:p>
    <w:p w:rsidR="00433F4C" w:rsidRDefault="00433F4C" w:rsidP="00433F4C">
      <w:pPr>
        <w:jc w:val="both"/>
      </w:pPr>
    </w:p>
    <w:p w:rsidR="00433F4C" w:rsidRDefault="00433F4C" w:rsidP="00433F4C">
      <w:pPr>
        <w:ind w:firstLine="720"/>
        <w:jc w:val="both"/>
      </w:pPr>
      <w:r>
        <w:t>7.</w:t>
      </w:r>
      <w:r>
        <w:tab/>
        <w:t xml:space="preserve">The </w:t>
      </w:r>
      <w:r w:rsidRPr="00637DD6">
        <w:rPr>
          <w:i/>
        </w:rPr>
        <w:t>Post</w:t>
      </w:r>
      <w:r>
        <w:t xml:space="preserve"> further reports that Mr. Fox-Rivera is contesting his dismissal as improper.  </w:t>
      </w:r>
      <w:r w:rsidRPr="008D71C9">
        <w:rPr>
          <w:i/>
        </w:rPr>
        <w:t>Id</w:t>
      </w:r>
      <w:r>
        <w:t>.</w:t>
      </w:r>
    </w:p>
    <w:p w:rsidR="00433F4C" w:rsidRDefault="00433F4C" w:rsidP="00433F4C">
      <w:pPr>
        <w:jc w:val="both"/>
      </w:pPr>
    </w:p>
    <w:p w:rsidR="00433F4C" w:rsidRDefault="00433F4C" w:rsidP="00433F4C">
      <w:pPr>
        <w:ind w:firstLine="720"/>
        <w:jc w:val="both"/>
      </w:pPr>
      <w:r>
        <w:t>8.</w:t>
      </w:r>
      <w:r>
        <w:tab/>
        <w:t xml:space="preserve">According to the </w:t>
      </w:r>
      <w:r w:rsidRPr="002A0F3E">
        <w:rPr>
          <w:i/>
        </w:rPr>
        <w:t>Post</w:t>
      </w:r>
      <w:r>
        <w:t xml:space="preserve">, Mr. Fox-Rivera was hired as a recent college graduate by the CDPHE in October of 2011, and he is blaming the erroneous BAC reports on his supervisor, Cindy </w:t>
      </w:r>
      <w:proofErr w:type="spellStart"/>
      <w:r>
        <w:t>Burbach</w:t>
      </w:r>
      <w:proofErr w:type="spellEnd"/>
      <w:r>
        <w:t>.  Mr. Fox-Rivera reportedly stated:</w:t>
      </w:r>
    </w:p>
    <w:p w:rsidR="00433F4C" w:rsidRDefault="00433F4C" w:rsidP="00433F4C">
      <w:pPr>
        <w:jc w:val="both"/>
      </w:pPr>
    </w:p>
    <w:p w:rsidR="00433F4C" w:rsidRDefault="00433F4C" w:rsidP="00433F4C">
      <w:pPr>
        <w:ind w:left="1440" w:right="1440"/>
        <w:jc w:val="both"/>
      </w:pPr>
      <w:r w:rsidRPr="00980E01">
        <w:t xml:space="preserve">Because the procedures require that I perform the initial review, and the toxicology supervisor review all the data, </w:t>
      </w:r>
      <w:r w:rsidRPr="00C43F58">
        <w:t>it was anticipated that mistakes would occur and be corrected</w:t>
      </w:r>
      <w:r>
        <w:t xml:space="preserve">. . . .  </w:t>
      </w:r>
      <w:r w:rsidRPr="00C43F58">
        <w:t>It was not my role to review the data for</w:t>
      </w:r>
      <w:r>
        <w:t xml:space="preserve"> forensic and litigation needs. </w:t>
      </w:r>
    </w:p>
    <w:p w:rsidR="00433F4C" w:rsidRDefault="00433F4C" w:rsidP="00433F4C">
      <w:pPr>
        <w:jc w:val="both"/>
      </w:pPr>
    </w:p>
    <w:p w:rsidR="00433F4C" w:rsidRDefault="00433F4C" w:rsidP="00433F4C">
      <w:pPr>
        <w:jc w:val="both"/>
      </w:pPr>
      <w:r w:rsidRPr="008D71C9">
        <w:rPr>
          <w:i/>
        </w:rPr>
        <w:t>Id</w:t>
      </w:r>
      <w:r>
        <w:t>.</w:t>
      </w:r>
    </w:p>
    <w:p w:rsidR="00433F4C" w:rsidRDefault="00433F4C" w:rsidP="00433F4C">
      <w:pPr>
        <w:jc w:val="both"/>
      </w:pPr>
    </w:p>
    <w:p w:rsidR="00433F4C" w:rsidRDefault="00433F4C" w:rsidP="00433F4C">
      <w:pPr>
        <w:ind w:firstLine="720"/>
        <w:jc w:val="both"/>
      </w:pPr>
      <w:r>
        <w:t>9.</w:t>
      </w:r>
      <w:r>
        <w:tab/>
        <w:t xml:space="preserve">In her email of March 21, as well as in an affidavit concerning these matters, Ms. </w:t>
      </w:r>
      <w:proofErr w:type="spellStart"/>
      <w:r>
        <w:t>Burbach</w:t>
      </w:r>
      <w:proofErr w:type="spellEnd"/>
      <w:r>
        <w:t xml:space="preserve"> herself has twice acknowledged that Mr. Fox-Rivera was responsible only for what she termed the "initial" analysis of BAC evidence.  </w:t>
      </w:r>
    </w:p>
    <w:p w:rsidR="00433F4C" w:rsidRDefault="00433F4C" w:rsidP="00433F4C">
      <w:pPr>
        <w:jc w:val="both"/>
      </w:pPr>
    </w:p>
    <w:p w:rsidR="00433F4C" w:rsidRDefault="00433F4C" w:rsidP="00433F4C">
      <w:pPr>
        <w:ind w:firstLine="720"/>
        <w:jc w:val="both"/>
      </w:pPr>
      <w:r>
        <w:t>10.</w:t>
      </w:r>
      <w:r>
        <w:tab/>
        <w:t xml:space="preserve">That Mr. Fox-Rivera was responsible only for "initial" analysis is also consistent with the "Rules Pertaining to Testing for Alcohol and Other Drugs."  These regulations refer at several places to distinctions between a "testing analyst" and a "supervising analyst," and to the duty of the supervising analyst to oversee testing analysts and maintain documentation concerning the compliance of testing analysts with </w:t>
      </w:r>
      <w:r>
        <w:lastRenderedPageBreak/>
        <w:t xml:space="preserve">standard operating procedures.  </w:t>
      </w:r>
      <w:proofErr w:type="gramStart"/>
      <w:r w:rsidRPr="00FB1555">
        <w:rPr>
          <w:i/>
        </w:rPr>
        <w:t>See</w:t>
      </w:r>
      <w:r>
        <w:t xml:space="preserve"> </w:t>
      </w:r>
      <w:r w:rsidRPr="00F31281">
        <w:rPr>
          <w:i/>
        </w:rPr>
        <w:t>e.g.</w:t>
      </w:r>
      <w:r>
        <w:t>, 5 CCR 1005(1.5) (definitions); Appendix 2C (Laboratory Certification Onsite Evaluation Standards).</w:t>
      </w:r>
      <w:proofErr w:type="gramEnd"/>
    </w:p>
    <w:p w:rsidR="00433F4C" w:rsidRDefault="00433F4C" w:rsidP="00433F4C">
      <w:pPr>
        <w:jc w:val="both"/>
      </w:pPr>
    </w:p>
    <w:p w:rsidR="00433F4C" w:rsidRDefault="00433F4C" w:rsidP="00433F4C">
      <w:pPr>
        <w:ind w:firstLine="720"/>
        <w:jc w:val="both"/>
      </w:pPr>
      <w:r>
        <w:t>11.</w:t>
      </w:r>
      <w:r>
        <w:tab/>
        <w:t xml:space="preserve">Despite Ms. </w:t>
      </w:r>
      <w:proofErr w:type="spellStart"/>
      <w:r>
        <w:t>Burbach's</w:t>
      </w:r>
      <w:proofErr w:type="spellEnd"/>
      <w:r>
        <w:t xml:space="preserve"> apparent role as supervising analyst who has signed-off on all or most of Mr. Fox-Rivera's chemical BAC reports, she has attempted to shift and spread blame away from herself.</w:t>
      </w:r>
    </w:p>
    <w:p w:rsidR="00433F4C" w:rsidRDefault="00433F4C" w:rsidP="00433F4C">
      <w:pPr>
        <w:jc w:val="both"/>
      </w:pPr>
    </w:p>
    <w:p w:rsidR="00433F4C" w:rsidRDefault="00433F4C" w:rsidP="00433F4C">
      <w:pPr>
        <w:ind w:firstLine="720"/>
        <w:jc w:val="both"/>
      </w:pPr>
      <w:r>
        <w:t>12.</w:t>
      </w:r>
      <w:r>
        <w:tab/>
        <w:t xml:space="preserve">In addition to dismissing Mr. Fox-Rivera from his job, Ms. </w:t>
      </w:r>
      <w:proofErr w:type="spellStart"/>
      <w:r>
        <w:t>Burbach</w:t>
      </w:r>
      <w:proofErr w:type="spellEnd"/>
      <w:r>
        <w:t xml:space="preserve"> has issued an affidavit placing responsibility for laboratory error solely upon him.  (</w:t>
      </w:r>
      <w:r w:rsidRPr="00AA3820">
        <w:rPr>
          <w:i/>
        </w:rPr>
        <w:t>See</w:t>
      </w:r>
      <w:r>
        <w:t xml:space="preserve"> "Attachment </w:t>
      </w:r>
      <w:r w:rsidR="00F249D4">
        <w:t>C</w:t>
      </w:r>
      <w:r>
        <w:t>")</w:t>
      </w:r>
    </w:p>
    <w:p w:rsidR="00433F4C" w:rsidRDefault="00433F4C" w:rsidP="00433F4C">
      <w:pPr>
        <w:jc w:val="both"/>
      </w:pPr>
    </w:p>
    <w:p w:rsidR="00F777E6" w:rsidRDefault="00433F4C" w:rsidP="0066397B">
      <w:pPr>
        <w:ind w:firstLine="720"/>
        <w:jc w:val="both"/>
      </w:pPr>
      <w:r>
        <w:t>13.</w:t>
      </w:r>
      <w:r>
        <w:tab/>
        <w:t xml:space="preserve">Other than dismissing Mr. Fox-Rivera, the only corrective measure specified by Ms. </w:t>
      </w:r>
      <w:proofErr w:type="spellStart"/>
      <w:r>
        <w:t>Burbach</w:t>
      </w:r>
      <w:proofErr w:type="spellEnd"/>
      <w:r>
        <w:t xml:space="preserve"> has been to secure independent re-testing of blood samples initially tested by Mr. Fox-Rivera.</w:t>
      </w:r>
    </w:p>
    <w:p w:rsidR="00F249D4" w:rsidRDefault="00F249D4" w:rsidP="0066397B">
      <w:pPr>
        <w:ind w:firstLine="720"/>
        <w:jc w:val="both"/>
      </w:pPr>
    </w:p>
    <w:p w:rsidR="00F249D4" w:rsidRDefault="00F249D4" w:rsidP="0066397B">
      <w:pPr>
        <w:ind w:firstLine="720"/>
        <w:jc w:val="both"/>
      </w:pPr>
      <w:r>
        <w:t>14.</w:t>
      </w:r>
      <w:r>
        <w:tab/>
        <w:t xml:space="preserve">Ms. </w:t>
      </w:r>
      <w:proofErr w:type="spellStart"/>
      <w:r>
        <w:t>Burbach’s</w:t>
      </w:r>
      <w:proofErr w:type="spellEnd"/>
      <w:r>
        <w:t xml:space="preserve"> April 20, 2012</w:t>
      </w:r>
      <w:r w:rsidR="00AE6E28">
        <w:t>,</w:t>
      </w:r>
      <w:r>
        <w:t xml:space="preserve"> Revised Affidavit</w:t>
      </w:r>
      <w:r w:rsidR="00AE6E28">
        <w:t>,</w:t>
      </w:r>
      <w:r>
        <w:t xml:space="preserve"> is troubling. In the Affidavit Ms. </w:t>
      </w:r>
      <w:proofErr w:type="spellStart"/>
      <w:r>
        <w:t>Burbach</w:t>
      </w:r>
      <w:proofErr w:type="spellEnd"/>
      <w:r>
        <w:t xml:space="preserve"> swears, “As of this date, April 20</w:t>
      </w:r>
      <w:r w:rsidRPr="00F249D4">
        <w:rPr>
          <w:vertAlign w:val="superscript"/>
        </w:rPr>
        <w:t>th</w:t>
      </w:r>
      <w:r>
        <w:t>, 2012…No retest has resulted in a lower actual BAC than was reported.”</w:t>
      </w:r>
    </w:p>
    <w:p w:rsidR="00F249D4" w:rsidRDefault="00F249D4" w:rsidP="0066397B">
      <w:pPr>
        <w:ind w:firstLine="720"/>
        <w:jc w:val="both"/>
      </w:pPr>
    </w:p>
    <w:p w:rsidR="00F249D4" w:rsidRDefault="00F249D4" w:rsidP="0066397B">
      <w:pPr>
        <w:ind w:firstLine="720"/>
        <w:jc w:val="both"/>
      </w:pPr>
      <w:r>
        <w:t xml:space="preserve">15. </w:t>
      </w:r>
      <w:r>
        <w:tab/>
        <w:t>On April 18</w:t>
      </w:r>
      <w:r w:rsidRPr="00F249D4">
        <w:rPr>
          <w:vertAlign w:val="superscript"/>
        </w:rPr>
        <w:t>th</w:t>
      </w:r>
      <w:r>
        <w:t xml:space="preserve">, 2012, Ms. </w:t>
      </w:r>
      <w:proofErr w:type="spellStart"/>
      <w:r>
        <w:t>Burbach</w:t>
      </w:r>
      <w:proofErr w:type="spellEnd"/>
      <w:r>
        <w:t xml:space="preserve"> signed off on an Amended Report concerning the BAC of Jamie </w:t>
      </w:r>
      <w:proofErr w:type="spellStart"/>
      <w:r>
        <w:t>Justesen</w:t>
      </w:r>
      <w:proofErr w:type="spellEnd"/>
      <w:r>
        <w:t>. (See Attachment D)</w:t>
      </w:r>
    </w:p>
    <w:p w:rsidR="00F249D4" w:rsidRDefault="00F249D4" w:rsidP="0066397B">
      <w:pPr>
        <w:ind w:firstLine="720"/>
        <w:jc w:val="both"/>
      </w:pPr>
    </w:p>
    <w:p w:rsidR="00F249D4" w:rsidRDefault="00F249D4" w:rsidP="0066397B">
      <w:pPr>
        <w:ind w:firstLine="720"/>
        <w:jc w:val="both"/>
      </w:pPr>
      <w:r>
        <w:t>16.</w:t>
      </w:r>
      <w:r>
        <w:tab/>
        <w:t xml:space="preserve">Mr. </w:t>
      </w:r>
      <w:proofErr w:type="spellStart"/>
      <w:r>
        <w:t>Justesen’s</w:t>
      </w:r>
      <w:proofErr w:type="spellEnd"/>
      <w:r>
        <w:t xml:space="preserve"> original BAC was reported at .146. His amended report, </w:t>
      </w:r>
      <w:proofErr w:type="spellStart"/>
      <w:r>
        <w:t>sigend</w:t>
      </w:r>
      <w:proofErr w:type="spellEnd"/>
      <w:r>
        <w:t xml:space="preserve"> off by Ms. </w:t>
      </w:r>
      <w:proofErr w:type="spellStart"/>
      <w:r>
        <w:t>Burbach</w:t>
      </w:r>
      <w:proofErr w:type="spellEnd"/>
      <w:r>
        <w:t xml:space="preserve"> on April 18</w:t>
      </w:r>
      <w:r w:rsidRPr="00F249D4">
        <w:rPr>
          <w:vertAlign w:val="superscript"/>
        </w:rPr>
        <w:t>th</w:t>
      </w:r>
      <w:r>
        <w:t>, 2012 shows a result of .134.  Clearly lower than the originally reported test result.</w:t>
      </w:r>
    </w:p>
    <w:p w:rsidR="00F249D4" w:rsidRDefault="00F249D4" w:rsidP="0066397B">
      <w:pPr>
        <w:ind w:firstLine="720"/>
        <w:jc w:val="both"/>
      </w:pPr>
    </w:p>
    <w:p w:rsidR="00F249D4" w:rsidRPr="0066397B" w:rsidRDefault="00F249D4" w:rsidP="0066397B">
      <w:pPr>
        <w:ind w:firstLine="720"/>
        <w:jc w:val="both"/>
      </w:pPr>
      <w:r>
        <w:t>17.</w:t>
      </w:r>
      <w:r>
        <w:tab/>
        <w:t>The representation that all of the test results were lower than retests is not true.</w:t>
      </w:r>
    </w:p>
    <w:p w:rsidR="00F777E6" w:rsidRDefault="00F777E6" w:rsidP="00F777E6">
      <w:pPr>
        <w:jc w:val="center"/>
        <w:rPr>
          <w:b/>
          <w:u w:val="single"/>
        </w:rPr>
      </w:pPr>
    </w:p>
    <w:p w:rsidR="00433F4C" w:rsidRPr="00F777E6" w:rsidRDefault="00433F4C" w:rsidP="00F777E6">
      <w:pPr>
        <w:jc w:val="center"/>
        <w:rPr>
          <w:b/>
          <w:u w:val="single"/>
        </w:rPr>
      </w:pPr>
      <w:r w:rsidRPr="00F777E6">
        <w:rPr>
          <w:b/>
          <w:u w:val="single"/>
        </w:rPr>
        <w:t>APPLICATION TO THE LAW</w:t>
      </w:r>
    </w:p>
    <w:p w:rsidR="00F777E6" w:rsidRPr="00F777E6" w:rsidRDefault="00F777E6" w:rsidP="00433F4C">
      <w:pPr>
        <w:jc w:val="both"/>
        <w:rPr>
          <w:b/>
          <w:caps/>
        </w:rPr>
      </w:pPr>
    </w:p>
    <w:p w:rsidR="00F777E6" w:rsidRPr="00F777E6" w:rsidRDefault="00F777E6" w:rsidP="00433F4C">
      <w:pPr>
        <w:jc w:val="both"/>
        <w:rPr>
          <w:b/>
          <w:caps/>
        </w:rPr>
      </w:pPr>
    </w:p>
    <w:p w:rsidR="00433F4C" w:rsidRPr="00F777E6" w:rsidRDefault="00433F4C" w:rsidP="00F777E6">
      <w:pPr>
        <w:ind w:left="1440" w:hanging="1440"/>
        <w:jc w:val="both"/>
        <w:rPr>
          <w:b/>
        </w:rPr>
      </w:pPr>
      <w:r w:rsidRPr="00F777E6">
        <w:rPr>
          <w:b/>
        </w:rPr>
        <w:tab/>
        <w:t>A.</w:t>
      </w:r>
      <w:r w:rsidRPr="00F777E6">
        <w:rPr>
          <w:b/>
        </w:rPr>
        <w:tab/>
      </w:r>
      <w:r w:rsidRPr="00F777E6">
        <w:rPr>
          <w:b/>
          <w:u w:val="single"/>
        </w:rPr>
        <w:t>The government must disclose all material records in its possession</w:t>
      </w:r>
      <w:r w:rsidRPr="00F777E6">
        <w:rPr>
          <w:b/>
        </w:rPr>
        <w:t>:</w:t>
      </w:r>
    </w:p>
    <w:p w:rsidR="00433F4C" w:rsidRDefault="00433F4C" w:rsidP="00433F4C">
      <w:pPr>
        <w:jc w:val="both"/>
      </w:pPr>
    </w:p>
    <w:p w:rsidR="00433F4C" w:rsidRDefault="00433F4C" w:rsidP="00433F4C">
      <w:pPr>
        <w:jc w:val="both"/>
      </w:pPr>
      <w:r>
        <w:tab/>
        <w:t>1</w:t>
      </w:r>
      <w:r w:rsidR="00AE6E28">
        <w:t>8</w:t>
      </w:r>
      <w:r>
        <w:t>.</w:t>
      </w:r>
      <w:r>
        <w:tab/>
        <w:t xml:space="preserve">The controlling constitutional standard is very well settled.  In </w:t>
      </w:r>
      <w:r w:rsidRPr="007C11CC">
        <w:rPr>
          <w:i/>
        </w:rPr>
        <w:t>Brady v. Maryland</w:t>
      </w:r>
      <w:r>
        <w:t xml:space="preserve">, 373 U.S. 83, 87 (1963), the Court held that "suppression by the prosecution of evidence favorable to an accused upon request violates due process where the evidence is material either to guilt or to punishment, </w:t>
      </w:r>
      <w:r w:rsidRPr="0075708C">
        <w:t>irrespective of the good faith or bad faith of the prosecution</w:t>
      </w:r>
      <w:r>
        <w:t xml:space="preserve">."  (Emphasis added); </w:t>
      </w:r>
      <w:r w:rsidRPr="0075708C">
        <w:rPr>
          <w:i/>
          <w:iCs/>
        </w:rPr>
        <w:t xml:space="preserve">accord </w:t>
      </w:r>
      <w:r w:rsidRPr="007C11CC">
        <w:rPr>
          <w:i/>
        </w:rPr>
        <w:t>In re Attorney C.</w:t>
      </w:r>
      <w:r>
        <w:t>, 47 P.3d 1167 (</w:t>
      </w:r>
      <w:smartTag w:uri="urn:schemas-microsoft-com:office:smarttags" w:element="State">
        <w:smartTag w:uri="urn:schemas-microsoft-com:office:smarttags" w:element="place">
          <w:r>
            <w:t>Colo.</w:t>
          </w:r>
        </w:smartTag>
      </w:smartTag>
      <w:r>
        <w:t xml:space="preserve"> 2002).  </w:t>
      </w:r>
    </w:p>
    <w:p w:rsidR="00433F4C" w:rsidRDefault="00433F4C" w:rsidP="00433F4C">
      <w:pPr>
        <w:jc w:val="both"/>
      </w:pPr>
    </w:p>
    <w:p w:rsidR="00433F4C" w:rsidRDefault="00433F4C" w:rsidP="00433F4C">
      <w:pPr>
        <w:ind w:firstLine="720"/>
        <w:jc w:val="both"/>
      </w:pPr>
      <w:r>
        <w:lastRenderedPageBreak/>
        <w:t>1</w:t>
      </w:r>
      <w:r w:rsidR="00A15310">
        <w:t>9</w:t>
      </w:r>
      <w:r>
        <w:t>.</w:t>
      </w:r>
      <w:r>
        <w:tab/>
        <w:t xml:space="preserve">Generally, evidence is material and exculpatory if (1) it possesses exculpatory value that is apparent before the evidence is destroyed; and (2) it is of such a nature that the defendant would be unable to obtain comparable evidence by other reasonably available means.  </w:t>
      </w:r>
      <w:proofErr w:type="gramStart"/>
      <w:r w:rsidRPr="00612537">
        <w:rPr>
          <w:i/>
        </w:rPr>
        <w:t xml:space="preserve">California v. </w:t>
      </w:r>
      <w:proofErr w:type="spellStart"/>
      <w:r w:rsidRPr="00612537">
        <w:rPr>
          <w:i/>
        </w:rPr>
        <w:t>T</w:t>
      </w:r>
      <w:r w:rsidRPr="008215EA">
        <w:rPr>
          <w:i/>
        </w:rPr>
        <w:t>rombetta</w:t>
      </w:r>
      <w:proofErr w:type="spellEnd"/>
      <w:r>
        <w:rPr>
          <w:i/>
        </w:rPr>
        <w:t xml:space="preserve">, </w:t>
      </w:r>
      <w:r w:rsidRPr="00612537">
        <w:t>467 U.S. 479 (1984);</w:t>
      </w:r>
      <w:r>
        <w:rPr>
          <w:i/>
        </w:rPr>
        <w:t xml:space="preserve"> </w:t>
      </w:r>
      <w:r w:rsidRPr="004259A5">
        <w:rPr>
          <w:i/>
        </w:rPr>
        <w:t xml:space="preserve">People v. </w:t>
      </w:r>
      <w:proofErr w:type="spellStart"/>
      <w:r w:rsidRPr="004259A5">
        <w:rPr>
          <w:i/>
        </w:rPr>
        <w:t>Eagen</w:t>
      </w:r>
      <w:proofErr w:type="spellEnd"/>
      <w:r>
        <w:t>, 892 P.2d 426 (Colo. App. 1994).</w:t>
      </w:r>
      <w:proofErr w:type="gramEnd"/>
      <w:r>
        <w:t xml:space="preserve">  </w:t>
      </w:r>
    </w:p>
    <w:p w:rsidR="00433F4C" w:rsidRDefault="00433F4C" w:rsidP="00433F4C">
      <w:pPr>
        <w:jc w:val="both"/>
      </w:pPr>
    </w:p>
    <w:p w:rsidR="00433F4C" w:rsidRPr="002A2AA0" w:rsidRDefault="00AE6E28" w:rsidP="00433F4C">
      <w:pPr>
        <w:ind w:firstLine="720"/>
        <w:jc w:val="both"/>
      </w:pPr>
      <w:r>
        <w:t>20</w:t>
      </w:r>
      <w:r w:rsidR="00433F4C">
        <w:t>.</w:t>
      </w:r>
      <w:r w:rsidR="00433F4C">
        <w:tab/>
      </w:r>
      <w:r w:rsidR="00433F4C" w:rsidRPr="008E60FA">
        <w:t xml:space="preserve">“Material” evidence includes that which may be used for impeachment.  </w:t>
      </w:r>
      <w:r w:rsidR="00433F4C" w:rsidRPr="008E60FA">
        <w:rPr>
          <w:i/>
        </w:rPr>
        <w:t>See</w:t>
      </w:r>
      <w:r w:rsidR="00433F4C" w:rsidRPr="008E60FA">
        <w:t xml:space="preserve"> </w:t>
      </w:r>
      <w:r w:rsidR="00433F4C" w:rsidRPr="008E60FA">
        <w:rPr>
          <w:i/>
          <w:iCs/>
        </w:rPr>
        <w:t>People v. District Court</w:t>
      </w:r>
      <w:r w:rsidR="00433F4C" w:rsidRPr="008E60FA">
        <w:t xml:space="preserve">, 790 P.2d 332 (Colo. 1990) (“Indeed, the significance of impeachment evidence in determining the outcome of a criminal prosecution often matches that of substantive or exculpatory evidence”); </w:t>
      </w:r>
      <w:r w:rsidR="00433F4C" w:rsidRPr="008E60FA">
        <w:rPr>
          <w:i/>
          <w:iCs/>
        </w:rPr>
        <w:t>People v. Doss</w:t>
      </w:r>
      <w:r w:rsidR="00433F4C" w:rsidRPr="008E60FA">
        <w:t>, 782 P.2d 119</w:t>
      </w:r>
      <w:r w:rsidR="00433F4C" w:rsidRPr="002A2AA0">
        <w:t xml:space="preserve">8 (Colo. App. 1989) (“Any distinction between impeachment and exculpatory evidence has been rejected, and both fall within the </w:t>
      </w:r>
      <w:r w:rsidR="00433F4C" w:rsidRPr="002A2AA0">
        <w:rPr>
          <w:i/>
          <w:iCs/>
        </w:rPr>
        <w:t>Brady</w:t>
      </w:r>
      <w:r w:rsidR="00433F4C" w:rsidRPr="002A2AA0">
        <w:t xml:space="preserve"> rule since such evidence, if disclosed and used effectively, may make the difference between a conviction or an acquittal”) (</w:t>
      </w:r>
      <w:r w:rsidR="00433F4C" w:rsidRPr="002A2AA0">
        <w:rPr>
          <w:i/>
          <w:iCs/>
        </w:rPr>
        <w:t>citing United States v. Bagley</w:t>
      </w:r>
      <w:r w:rsidR="00433F4C" w:rsidRPr="002A2AA0">
        <w:t>, 473 U.S. 667 (1985)).</w:t>
      </w:r>
    </w:p>
    <w:p w:rsidR="00433F4C" w:rsidRDefault="00433F4C" w:rsidP="00433F4C">
      <w:pPr>
        <w:jc w:val="both"/>
      </w:pPr>
    </w:p>
    <w:p w:rsidR="00433F4C" w:rsidRDefault="00433F4C" w:rsidP="00433F4C">
      <w:pPr>
        <w:jc w:val="both"/>
      </w:pPr>
      <w:r>
        <w:tab/>
      </w:r>
      <w:r w:rsidR="00AE6E28">
        <w:t>21</w:t>
      </w:r>
      <w:r>
        <w:t>.</w:t>
      </w:r>
      <w:r>
        <w:tab/>
        <w:t xml:space="preserve">It also bears emphasis that the prosecution’s duty to disclose material evidence that is in its control is virtually absolute, without exception.  </w:t>
      </w:r>
      <w:r w:rsidRPr="00D97733">
        <w:t xml:space="preserve">Two cases, </w:t>
      </w:r>
      <w:r w:rsidRPr="00D97733">
        <w:rPr>
          <w:i/>
        </w:rPr>
        <w:t>Pennsylvania v. Ritchie</w:t>
      </w:r>
      <w:r w:rsidRPr="00D97733">
        <w:t xml:space="preserve">, 480 U.S. 39 (1987), and </w:t>
      </w:r>
      <w:proofErr w:type="spellStart"/>
      <w:r w:rsidRPr="00D97733">
        <w:rPr>
          <w:i/>
        </w:rPr>
        <w:t>Exline</w:t>
      </w:r>
      <w:proofErr w:type="spellEnd"/>
      <w:r w:rsidRPr="00D97733">
        <w:rPr>
          <w:i/>
        </w:rPr>
        <w:t xml:space="preserve"> v. Gunter</w:t>
      </w:r>
      <w:r w:rsidRPr="00D97733">
        <w:t>, 985 F.2d 487 (10</w:t>
      </w:r>
      <w:r w:rsidRPr="00D97733">
        <w:rPr>
          <w:vertAlign w:val="superscript"/>
        </w:rPr>
        <w:t>th</w:t>
      </w:r>
      <w:r w:rsidRPr="00D97733">
        <w:t xml:space="preserve"> Cir. 1993), </w:t>
      </w:r>
      <w:r>
        <w:t xml:space="preserve">are perfectly illustrative of this.  In </w:t>
      </w:r>
      <w:r w:rsidRPr="008810A1">
        <w:rPr>
          <w:i/>
        </w:rPr>
        <w:t>Ritchie</w:t>
      </w:r>
      <w:r>
        <w:t xml:space="preserve"> and </w:t>
      </w:r>
      <w:proofErr w:type="spellStart"/>
      <w:r w:rsidRPr="008810A1">
        <w:rPr>
          <w:i/>
        </w:rPr>
        <w:t>Exline</w:t>
      </w:r>
      <w:proofErr w:type="spellEnd"/>
      <w:r>
        <w:t xml:space="preserve">, the government sought to withhold governmental records pertaining to sexual abuse of children.  There could scarcely be any area in which legitimate concerns about privacy are stronger.  Yet both </w:t>
      </w:r>
      <w:r w:rsidRPr="00E12FF6">
        <w:rPr>
          <w:i/>
          <w:iCs/>
        </w:rPr>
        <w:t xml:space="preserve">Ritchie </w:t>
      </w:r>
      <w:r>
        <w:t xml:space="preserve">and </w:t>
      </w:r>
      <w:proofErr w:type="spellStart"/>
      <w:r w:rsidRPr="00E12FF6">
        <w:rPr>
          <w:i/>
          <w:iCs/>
        </w:rPr>
        <w:t>Exline</w:t>
      </w:r>
      <w:proofErr w:type="spellEnd"/>
      <w:r w:rsidRPr="00E12FF6">
        <w:rPr>
          <w:i/>
          <w:iCs/>
        </w:rPr>
        <w:t xml:space="preserve"> </w:t>
      </w:r>
      <w:r>
        <w:t xml:space="preserve">hold that even this otherwise privileged information must be disclosed to the accused, because it is in the government’s possession.  These cases thus demonstrate that virtually no governmental privilege over "material" evidence within its possession may be exercised against the accused, while the government is prosecuting the accused for alleged crime.  </w:t>
      </w:r>
      <w:r w:rsidRPr="001F7C3B">
        <w:rPr>
          <w:i/>
        </w:rPr>
        <w:t>See also</w:t>
      </w:r>
      <w:r>
        <w:t xml:space="preserve"> </w:t>
      </w:r>
      <w:r w:rsidRPr="0030452C">
        <w:rPr>
          <w:i/>
        </w:rPr>
        <w:t xml:space="preserve">People v. </w:t>
      </w:r>
      <w:smartTag w:uri="urn:schemas-microsoft-com:office:smarttags" w:element="City">
        <w:smartTag w:uri="urn:schemas-microsoft-com:office:smarttags" w:element="place">
          <w:r w:rsidRPr="0030452C">
            <w:rPr>
              <w:i/>
            </w:rPr>
            <w:t>Walker</w:t>
          </w:r>
        </w:smartTag>
      </w:smartTag>
      <w:r>
        <w:t>, 666 P.2d 113 (</w:t>
      </w:r>
      <w:smartTag w:uri="urn:schemas-microsoft-com:office:smarttags" w:element="State">
        <w:smartTag w:uri="urn:schemas-microsoft-com:office:smarttags" w:element="place">
          <w:r>
            <w:t>Colo.</w:t>
          </w:r>
        </w:smartTag>
      </w:smartTag>
      <w:r>
        <w:t xml:space="preserve"> 1983) (holding that police officer's usual privilege in personnel records must yield to the defendant's always "compelling" interest in accessing material evidence possessed by the government).</w:t>
      </w:r>
    </w:p>
    <w:p w:rsidR="00433F4C" w:rsidRDefault="00433F4C" w:rsidP="00433F4C">
      <w:pPr>
        <w:jc w:val="both"/>
      </w:pPr>
    </w:p>
    <w:p w:rsidR="00433F4C" w:rsidRDefault="00AE6E28" w:rsidP="00433F4C">
      <w:pPr>
        <w:ind w:firstLine="720"/>
        <w:jc w:val="both"/>
      </w:pPr>
      <w:r>
        <w:t>22</w:t>
      </w:r>
      <w:r w:rsidR="00433F4C">
        <w:t>.</w:t>
      </w:r>
      <w:r w:rsidR="00433F4C">
        <w:tab/>
        <w:t xml:space="preserve">When the accused moves for disclosure of material evidence, the burden of the defense to establish that the Department's records are likely "material" is minimal.  </w:t>
      </w:r>
    </w:p>
    <w:p w:rsidR="00433F4C" w:rsidRDefault="00433F4C" w:rsidP="00433F4C">
      <w:pPr>
        <w:jc w:val="both"/>
      </w:pPr>
    </w:p>
    <w:p w:rsidR="00433F4C" w:rsidRDefault="00AE6E28" w:rsidP="00433F4C">
      <w:pPr>
        <w:ind w:firstLine="720"/>
        <w:jc w:val="both"/>
      </w:pPr>
      <w:r>
        <w:t>23</w:t>
      </w:r>
      <w:r w:rsidR="00433F4C">
        <w:t>.</w:t>
      </w:r>
      <w:r w:rsidR="00433F4C">
        <w:tab/>
        <w:t xml:space="preserve">After all, when evidence is solely within the government's possession, it follows that a defendant cannot prove the specific content of what has been withheld.  </w:t>
      </w:r>
      <w:proofErr w:type="gramStart"/>
      <w:r w:rsidR="00433F4C" w:rsidRPr="003A554C">
        <w:rPr>
          <w:i/>
        </w:rPr>
        <w:t xml:space="preserve">United States v. </w:t>
      </w:r>
      <w:proofErr w:type="spellStart"/>
      <w:r w:rsidR="00433F4C" w:rsidRPr="003A554C">
        <w:rPr>
          <w:i/>
        </w:rPr>
        <w:t>Valenzuala</w:t>
      </w:r>
      <w:proofErr w:type="spellEnd"/>
      <w:r w:rsidR="00433F4C" w:rsidRPr="003A554C">
        <w:rPr>
          <w:i/>
        </w:rPr>
        <w:t>-Bernal</w:t>
      </w:r>
      <w:r w:rsidR="00433F4C" w:rsidRPr="003A554C">
        <w:t>, 458 U.S. 858 (1982)</w:t>
      </w:r>
      <w:r w:rsidR="00433F4C">
        <w:t xml:space="preserve">; </w:t>
      </w:r>
      <w:r w:rsidR="00433F4C" w:rsidRPr="005662A3">
        <w:rPr>
          <w:i/>
        </w:rPr>
        <w:t>Ritchie</w:t>
      </w:r>
      <w:r w:rsidR="00433F4C">
        <w:rPr>
          <w:i/>
        </w:rPr>
        <w:t>, supra</w:t>
      </w:r>
      <w:r w:rsidR="00433F4C">
        <w:t>.</w:t>
      </w:r>
      <w:proofErr w:type="gramEnd"/>
      <w:r w:rsidR="00433F4C">
        <w:t xml:space="preserve">  Thus, in requesting access to governmental </w:t>
      </w:r>
      <w:r w:rsidR="00433F4C">
        <w:lastRenderedPageBreak/>
        <w:t>records, the duty of the accused is no higher than to "</w:t>
      </w:r>
      <w:r w:rsidR="00433F4C" w:rsidRPr="001355D3">
        <w:rPr>
          <w:u w:val="single"/>
        </w:rPr>
        <w:t>at least make some plausible showing</w:t>
      </w:r>
      <w:r w:rsidR="00433F4C">
        <w:t xml:space="preserve">" that the records contain information "both material and favorable to his defense."  </w:t>
      </w:r>
      <w:r w:rsidR="00433F4C" w:rsidRPr="002D3943">
        <w:rPr>
          <w:i/>
        </w:rPr>
        <w:t>Ritchie</w:t>
      </w:r>
      <w:r w:rsidR="00433F4C">
        <w:t xml:space="preserve">, 480 U.S. at n.15; </w:t>
      </w:r>
      <w:r w:rsidR="00433F4C" w:rsidRPr="00AE24A3">
        <w:rPr>
          <w:i/>
        </w:rPr>
        <w:t xml:space="preserve">accord </w:t>
      </w:r>
      <w:r w:rsidR="00433F4C" w:rsidRPr="003A554C">
        <w:rPr>
          <w:i/>
        </w:rPr>
        <w:t>People v. Morgan</w:t>
      </w:r>
      <w:r w:rsidR="00433F4C" w:rsidRPr="003A554C">
        <w:t>, 606 P.2d 1296 (1980)</w:t>
      </w:r>
      <w:r w:rsidR="00433F4C">
        <w:t>.</w:t>
      </w:r>
    </w:p>
    <w:p w:rsidR="00433F4C" w:rsidRDefault="00433F4C" w:rsidP="00433F4C">
      <w:pPr>
        <w:jc w:val="both"/>
      </w:pPr>
      <w:r w:rsidRPr="003A554C">
        <w:t xml:space="preserve">  </w:t>
      </w:r>
    </w:p>
    <w:p w:rsidR="00433F4C" w:rsidRPr="00F777E6" w:rsidRDefault="00433F4C" w:rsidP="00433F4C">
      <w:pPr>
        <w:jc w:val="both"/>
        <w:rPr>
          <w:b/>
        </w:rPr>
      </w:pPr>
    </w:p>
    <w:p w:rsidR="00433F4C" w:rsidRPr="00F777E6" w:rsidRDefault="00433F4C" w:rsidP="00F777E6">
      <w:pPr>
        <w:ind w:left="1440" w:hanging="1440"/>
        <w:jc w:val="both"/>
        <w:rPr>
          <w:b/>
        </w:rPr>
      </w:pPr>
      <w:r w:rsidRPr="00F777E6">
        <w:rPr>
          <w:b/>
        </w:rPr>
        <w:tab/>
        <w:t>B.</w:t>
      </w:r>
      <w:r w:rsidRPr="00F777E6">
        <w:rPr>
          <w:b/>
        </w:rPr>
        <w:tab/>
      </w:r>
      <w:proofErr w:type="gramStart"/>
      <w:r w:rsidRPr="00F777E6">
        <w:rPr>
          <w:b/>
          <w:u w:val="single"/>
        </w:rPr>
        <w:t>The</w:t>
      </w:r>
      <w:proofErr w:type="gramEnd"/>
      <w:r w:rsidRPr="00F777E6">
        <w:rPr>
          <w:b/>
          <w:u w:val="single"/>
        </w:rPr>
        <w:t xml:space="preserve"> records are inherently exculpatory and bear upon the reliability of chemical BAC test results, which is the linchpin of any DUI prosecution</w:t>
      </w:r>
      <w:r w:rsidRPr="00F777E6">
        <w:rPr>
          <w:b/>
        </w:rPr>
        <w:t>:</w:t>
      </w:r>
    </w:p>
    <w:p w:rsidR="00433F4C" w:rsidRDefault="00433F4C" w:rsidP="00433F4C">
      <w:pPr>
        <w:jc w:val="both"/>
      </w:pPr>
    </w:p>
    <w:p w:rsidR="00433F4C" w:rsidRDefault="00433F4C" w:rsidP="00433F4C">
      <w:pPr>
        <w:jc w:val="both"/>
      </w:pPr>
      <w:r>
        <w:tab/>
        <w:t>2</w:t>
      </w:r>
      <w:r w:rsidR="00AE6E28">
        <w:t>4</w:t>
      </w:r>
      <w:r>
        <w:t>.</w:t>
      </w:r>
      <w:r>
        <w:tab/>
        <w:t xml:space="preserve">In </w:t>
      </w:r>
      <w:r w:rsidR="00F777E6">
        <w:t>M</w:t>
      </w:r>
      <w:r w:rsidR="000F6007">
        <w:t>*</w:t>
      </w:r>
      <w:r w:rsidR="00F777E6">
        <w:t xml:space="preserve">. </w:t>
      </w:r>
      <w:r w:rsidR="000F6007">
        <w:t>*****</w:t>
      </w:r>
      <w:r>
        <w:t xml:space="preserve">'s case, the relevance and exculpatory value of the internal affairs investigation and the personnel file are obvious.  The government seeks to prosecute </w:t>
      </w:r>
      <w:r w:rsidR="00F777E6">
        <w:t>M</w:t>
      </w:r>
      <w:r w:rsidR="000F6007">
        <w:t>*</w:t>
      </w:r>
      <w:r w:rsidR="00F777E6">
        <w:t xml:space="preserve">. </w:t>
      </w:r>
      <w:r w:rsidR="000F6007">
        <w:t>*****</w:t>
      </w:r>
      <w:r>
        <w:t xml:space="preserve"> on the basis of a chemical BAC results reported by a CDPHE-certified laboratory.</w:t>
      </w:r>
    </w:p>
    <w:p w:rsidR="00433F4C" w:rsidRDefault="00433F4C" w:rsidP="00433F4C">
      <w:pPr>
        <w:jc w:val="both"/>
      </w:pPr>
    </w:p>
    <w:p w:rsidR="00433F4C" w:rsidRDefault="00433F4C" w:rsidP="00433F4C">
      <w:pPr>
        <w:ind w:firstLine="720"/>
        <w:jc w:val="both"/>
      </w:pPr>
      <w:r>
        <w:t>2</w:t>
      </w:r>
      <w:r w:rsidR="00AE6E28">
        <w:t>5</w:t>
      </w:r>
      <w:r>
        <w:t>.</w:t>
      </w:r>
      <w:r>
        <w:tab/>
        <w:t>A chemical BAC result reported by a CDPHE laboratory is the linchpin of any criminal prosecution for DUI.</w:t>
      </w:r>
    </w:p>
    <w:p w:rsidR="00433F4C" w:rsidRDefault="00433F4C" w:rsidP="00433F4C">
      <w:pPr>
        <w:jc w:val="both"/>
      </w:pPr>
    </w:p>
    <w:p w:rsidR="00433F4C" w:rsidRPr="00582975" w:rsidRDefault="00433F4C" w:rsidP="00433F4C">
      <w:pPr>
        <w:ind w:firstLine="720"/>
        <w:jc w:val="both"/>
      </w:pPr>
      <w:r>
        <w:t>2</w:t>
      </w:r>
      <w:r w:rsidR="00AE6E28">
        <w:t>6</w:t>
      </w:r>
      <w:r>
        <w:t>.</w:t>
      </w:r>
      <w:r>
        <w:tab/>
      </w:r>
      <w:r w:rsidRPr="00582975">
        <w:t xml:space="preserve">In establishing its statutory system for chemical BAC testing, the legislature has charged the </w:t>
      </w:r>
      <w:r>
        <w:t xml:space="preserve">CDPHE </w:t>
      </w:r>
      <w:r w:rsidRPr="00582975">
        <w:t>with the responsibility for designing and maintaining a testing system that produces results that are reliable.  § 42-4-1301(6</w:t>
      </w:r>
      <w:proofErr w:type="gramStart"/>
      <w:r w:rsidRPr="00582975">
        <w:t>)(</w:t>
      </w:r>
      <w:proofErr w:type="gramEnd"/>
      <w:r w:rsidRPr="00582975">
        <w:t>c), (</w:t>
      </w:r>
      <w:proofErr w:type="spellStart"/>
      <w:r w:rsidRPr="00582975">
        <w:t>i</w:t>
      </w:r>
      <w:proofErr w:type="spellEnd"/>
      <w:r w:rsidRPr="00582975">
        <w:t>)(I), C.R.S.  The Department's regulations are so prominent in the statutory scheme that the mere certification of compliance with these regulations is generally a sufficient foundation for admitting chemical BAC evidence in a criminal trial.  § 42-4-1301(6</w:t>
      </w:r>
      <w:proofErr w:type="gramStart"/>
      <w:r w:rsidRPr="00582975">
        <w:t>)(</w:t>
      </w:r>
      <w:proofErr w:type="gramEnd"/>
      <w:r w:rsidRPr="00582975">
        <w:t>g).</w:t>
      </w:r>
      <w:r>
        <w:t xml:space="preserve">  </w:t>
      </w:r>
      <w:r w:rsidRPr="00582975">
        <w:t xml:space="preserve">Moreover, if Department-certified testing indicates a driver's BAC is .08 or greater, the evidence shall be deemed </w:t>
      </w:r>
      <w:r w:rsidRPr="00582975">
        <w:rPr>
          <w:i/>
        </w:rPr>
        <w:t>prima facie</w:t>
      </w:r>
      <w:r w:rsidRPr="00582975">
        <w:t xml:space="preserve"> evidence of DUI </w:t>
      </w:r>
      <w:r w:rsidRPr="00582975">
        <w:rPr>
          <w:i/>
        </w:rPr>
        <w:t>per se</w:t>
      </w:r>
      <w:r w:rsidRPr="00582975">
        <w:t>.  § 42-4-1301(2</w:t>
      </w:r>
      <w:proofErr w:type="gramStart"/>
      <w:r w:rsidRPr="00582975">
        <w:t>)(</w:t>
      </w:r>
      <w:proofErr w:type="gramEnd"/>
      <w:r w:rsidRPr="00582975">
        <w:t>a).   If testing compliant with Department regulations indicates a driver's BAC is at a level below .05 or between .05 and .08, then mandatory and permissible inferences arise on which the jury will predicate its verdicts.  § 42-4-1301(6</w:t>
      </w:r>
      <w:proofErr w:type="gramStart"/>
      <w:r w:rsidRPr="00582975">
        <w:t>)(</w:t>
      </w:r>
      <w:proofErr w:type="gramEnd"/>
      <w:r w:rsidRPr="00582975">
        <w:t xml:space="preserve">a).  </w:t>
      </w:r>
    </w:p>
    <w:p w:rsidR="00433F4C" w:rsidRPr="00582975" w:rsidRDefault="00433F4C" w:rsidP="00433F4C">
      <w:pPr>
        <w:ind w:firstLine="720"/>
        <w:jc w:val="both"/>
      </w:pPr>
    </w:p>
    <w:p w:rsidR="00433F4C" w:rsidRPr="00582975" w:rsidRDefault="00433F4C" w:rsidP="00433F4C">
      <w:pPr>
        <w:ind w:firstLine="720"/>
        <w:jc w:val="both"/>
      </w:pPr>
      <w:r>
        <w:t>2</w:t>
      </w:r>
      <w:r w:rsidR="00AE6E28">
        <w:t>7</w:t>
      </w:r>
      <w:r w:rsidRPr="00582975">
        <w:t>.</w:t>
      </w:r>
      <w:r w:rsidRPr="00582975">
        <w:tab/>
        <w:t>In addition to these statutory consequences, the Department's and certifications of chemical BAC testing carry simple but undoubted prestige and persuas</w:t>
      </w:r>
      <w:r>
        <w:t>ive value in the minds of jurors</w:t>
      </w:r>
      <w:r w:rsidRPr="00582975">
        <w:t xml:space="preserve">.  Certified testing results are persuasive because they have the imprimatur of a governmental agency. </w:t>
      </w:r>
      <w:r>
        <w:t xml:space="preserve"> </w:t>
      </w:r>
      <w:proofErr w:type="gramStart"/>
      <w:r w:rsidRPr="008402B3">
        <w:rPr>
          <w:i/>
        </w:rPr>
        <w:t>Cf. Wilson v.</w:t>
      </w:r>
      <w:proofErr w:type="gramEnd"/>
      <w:r w:rsidRPr="008402B3">
        <w:rPr>
          <w:i/>
        </w:rPr>
        <w:t xml:space="preserve"> People</w:t>
      </w:r>
      <w:r>
        <w:t>, 743 P.2d 415 (Colo. 1987) (observing that some forms of prosecutorial misconduct are especially prejudicial, due to the prestige of the district attorney's status as a public official).</w:t>
      </w:r>
    </w:p>
    <w:p w:rsidR="00433F4C" w:rsidRPr="00582975" w:rsidRDefault="00433F4C" w:rsidP="00433F4C">
      <w:pPr>
        <w:ind w:firstLine="720"/>
        <w:jc w:val="both"/>
      </w:pPr>
    </w:p>
    <w:p w:rsidR="00433F4C" w:rsidRDefault="00433F4C" w:rsidP="00433F4C">
      <w:pPr>
        <w:ind w:firstLine="720"/>
        <w:jc w:val="both"/>
      </w:pPr>
      <w:r>
        <w:lastRenderedPageBreak/>
        <w:t>2</w:t>
      </w:r>
      <w:r w:rsidR="00AE6E28">
        <w:t>8</w:t>
      </w:r>
      <w:r>
        <w:t>.</w:t>
      </w:r>
      <w:r>
        <w:tab/>
        <w:t xml:space="preserve">Yet by the admission of the laboratory supervisor, Ms. </w:t>
      </w:r>
      <w:proofErr w:type="spellStart"/>
      <w:r>
        <w:t>Burbach</w:t>
      </w:r>
      <w:proofErr w:type="spellEnd"/>
      <w:r>
        <w:t>, there has been systemic error affecting virtually every test conducted at her lab by Mr. Fox-Rivera.</w:t>
      </w:r>
    </w:p>
    <w:p w:rsidR="00433F4C" w:rsidRDefault="00433F4C" w:rsidP="00433F4C">
      <w:pPr>
        <w:jc w:val="both"/>
      </w:pPr>
    </w:p>
    <w:p w:rsidR="00433F4C" w:rsidRDefault="00433F4C" w:rsidP="00433F4C">
      <w:pPr>
        <w:ind w:firstLine="720"/>
        <w:jc w:val="both"/>
      </w:pPr>
      <w:r>
        <w:t>2</w:t>
      </w:r>
      <w:r w:rsidR="00AE6E28">
        <w:t>9</w:t>
      </w:r>
      <w:r>
        <w:t>.</w:t>
      </w:r>
      <w:r>
        <w:tab/>
        <w:t xml:space="preserve">The systematic failure of the laboratory's testing analyst to comply with the Department's standard operating procedures, </w:t>
      </w:r>
      <w:r w:rsidRPr="004C6306">
        <w:rPr>
          <w:u w:val="single"/>
        </w:rPr>
        <w:t>and</w:t>
      </w:r>
      <w:r>
        <w:t xml:space="preserve"> the likewise systematic failure of the laboratory's supervising analyst to identify and correct such errors prior to a run of 1,700 cases, strongly impeaches the reliability of any laboratory result.  </w:t>
      </w:r>
    </w:p>
    <w:p w:rsidR="00433F4C" w:rsidRDefault="00433F4C" w:rsidP="00433F4C">
      <w:pPr>
        <w:jc w:val="both"/>
      </w:pPr>
    </w:p>
    <w:p w:rsidR="00433F4C" w:rsidRDefault="00AE6E28" w:rsidP="00433F4C">
      <w:pPr>
        <w:ind w:firstLine="720"/>
        <w:jc w:val="both"/>
      </w:pPr>
      <w:r>
        <w:t>30</w:t>
      </w:r>
      <w:r w:rsidR="00433F4C">
        <w:t>.</w:t>
      </w:r>
      <w:r w:rsidR="00433F4C">
        <w:tab/>
        <w:t xml:space="preserve">Such impeachment may well, moreover, serve as the basis for excluding chemical BAC evidence or for eliminating the statutory presumption supporting guilt in a criminal trial.  </w:t>
      </w:r>
    </w:p>
    <w:p w:rsidR="00433F4C" w:rsidRDefault="00433F4C" w:rsidP="00433F4C">
      <w:pPr>
        <w:jc w:val="both"/>
      </w:pPr>
    </w:p>
    <w:p w:rsidR="00433F4C" w:rsidRDefault="00AE6E28" w:rsidP="00433F4C">
      <w:pPr>
        <w:ind w:firstLine="720"/>
        <w:jc w:val="both"/>
      </w:pPr>
      <w:r>
        <w:t>31</w:t>
      </w:r>
      <w:r w:rsidR="00433F4C">
        <w:t>.</w:t>
      </w:r>
      <w:r w:rsidR="00433F4C">
        <w:tab/>
        <w:t xml:space="preserve">When error is repetitious, it casts strong doubt on any claim that the error was random or the result of isolated mistake.  </w:t>
      </w:r>
      <w:r w:rsidR="00433F4C" w:rsidRPr="00C51D2F">
        <w:rPr>
          <w:i/>
          <w:iCs/>
        </w:rPr>
        <w:t xml:space="preserve">See e.g., People v. </w:t>
      </w:r>
      <w:proofErr w:type="spellStart"/>
      <w:r w:rsidR="00433F4C" w:rsidRPr="00C51D2F">
        <w:rPr>
          <w:i/>
          <w:iCs/>
        </w:rPr>
        <w:t>Spoto</w:t>
      </w:r>
      <w:proofErr w:type="spellEnd"/>
      <w:r w:rsidR="00433F4C">
        <w:t>, 795 P.2d 1314 (</w:t>
      </w:r>
      <w:smartTag w:uri="urn:schemas-microsoft-com:office:smarttags" w:element="State">
        <w:smartTag w:uri="urn:schemas-microsoft-com:office:smarttags" w:element="place">
          <w:r w:rsidR="00433F4C">
            <w:t>Colo.</w:t>
          </w:r>
        </w:smartTag>
      </w:smartTag>
      <w:r w:rsidR="00433F4C">
        <w:t xml:space="preserve"> 1990) (discussing the doctrine of chances); </w:t>
      </w:r>
      <w:r w:rsidR="00433F4C" w:rsidRPr="00C51D2F">
        <w:rPr>
          <w:i/>
          <w:iCs/>
        </w:rPr>
        <w:t xml:space="preserve">People v. </w:t>
      </w:r>
      <w:proofErr w:type="spellStart"/>
      <w:r w:rsidR="00433F4C" w:rsidRPr="00C51D2F">
        <w:rPr>
          <w:i/>
          <w:iCs/>
        </w:rPr>
        <w:t>Rath</w:t>
      </w:r>
      <w:proofErr w:type="spellEnd"/>
      <w:r w:rsidR="00433F4C">
        <w:t>, 44 P.3d 1033 (</w:t>
      </w:r>
      <w:smartTag w:uri="urn:schemas-microsoft-com:office:smarttags" w:element="State">
        <w:smartTag w:uri="urn:schemas-microsoft-com:office:smarttags" w:element="place">
          <w:r w:rsidR="00433F4C">
            <w:t>Colo.</w:t>
          </w:r>
        </w:smartTag>
      </w:smartTag>
      <w:r w:rsidR="00433F4C">
        <w:t xml:space="preserve"> 2002) (explaining that </w:t>
      </w:r>
      <w:r w:rsidR="00433F4C" w:rsidRPr="00C51D2F">
        <w:rPr>
          <w:i/>
          <w:iCs/>
        </w:rPr>
        <w:t xml:space="preserve">modus operandi </w:t>
      </w:r>
      <w:r w:rsidR="00433F4C">
        <w:t>and common schemes tend to negate a claim of mistake or accident).</w:t>
      </w:r>
    </w:p>
    <w:p w:rsidR="00433F4C" w:rsidRDefault="00433F4C" w:rsidP="00433F4C">
      <w:pPr>
        <w:jc w:val="both"/>
      </w:pPr>
    </w:p>
    <w:p w:rsidR="00433F4C" w:rsidRDefault="00AE6E28" w:rsidP="00433F4C">
      <w:pPr>
        <w:ind w:firstLine="720"/>
        <w:jc w:val="both"/>
      </w:pPr>
      <w:r>
        <w:t>32</w:t>
      </w:r>
      <w:r w:rsidR="00433F4C">
        <w:t>.</w:t>
      </w:r>
      <w:r w:rsidR="00433F4C">
        <w:tab/>
        <w:t>Thus, the circumstances described above obliterate</w:t>
      </w:r>
      <w:r w:rsidR="005B1F56">
        <w:t xml:space="preserve"> any</w:t>
      </w:r>
      <w:r w:rsidR="00433F4C">
        <w:t xml:space="preserve"> notion that Ms. </w:t>
      </w:r>
      <w:proofErr w:type="spellStart"/>
      <w:r w:rsidR="00433F4C">
        <w:t>Burbach's</w:t>
      </w:r>
      <w:proofErr w:type="spellEnd"/>
      <w:r w:rsidR="00433F4C">
        <w:t xml:space="preserve"> certified laboratory maintains regular compliance with the Department's prescribed standard operating procedure, or that error by any testing analyst will be identified and corrected when Ms. </w:t>
      </w:r>
      <w:proofErr w:type="spellStart"/>
      <w:r w:rsidR="00433F4C">
        <w:t>Burbach</w:t>
      </w:r>
      <w:proofErr w:type="spellEnd"/>
      <w:r w:rsidR="00433F4C">
        <w:t xml:space="preserve"> signs-off on results as the "supervising analyst."</w:t>
      </w:r>
    </w:p>
    <w:p w:rsidR="00433F4C" w:rsidRDefault="00433F4C" w:rsidP="00433F4C">
      <w:pPr>
        <w:jc w:val="both"/>
      </w:pPr>
    </w:p>
    <w:p w:rsidR="00433F4C" w:rsidRDefault="00AE6E28" w:rsidP="00433F4C">
      <w:pPr>
        <w:ind w:firstLine="720"/>
        <w:jc w:val="both"/>
      </w:pPr>
      <w:r>
        <w:t>33</w:t>
      </w:r>
      <w:r w:rsidR="00433F4C">
        <w:t>.</w:t>
      </w:r>
      <w:r w:rsidR="00433F4C">
        <w:tab/>
        <w:t xml:space="preserve">Nor could the exculpatory value of this evidence be eclipsed by self-serving assurances from Ms. </w:t>
      </w:r>
      <w:proofErr w:type="spellStart"/>
      <w:r w:rsidR="00433F4C">
        <w:t>Burbach</w:t>
      </w:r>
      <w:proofErr w:type="spellEnd"/>
      <w:r w:rsidR="00433F4C">
        <w:t>, who has become a self-interested and conflicted party.</w:t>
      </w:r>
    </w:p>
    <w:p w:rsidR="00433F4C" w:rsidRDefault="00433F4C" w:rsidP="00433F4C">
      <w:pPr>
        <w:jc w:val="both"/>
      </w:pPr>
    </w:p>
    <w:p w:rsidR="00433F4C" w:rsidRDefault="00433F4C" w:rsidP="00433F4C">
      <w:pPr>
        <w:ind w:firstLine="720"/>
        <w:jc w:val="both"/>
      </w:pPr>
      <w:r>
        <w:t>3</w:t>
      </w:r>
      <w:r w:rsidR="00AE6E28">
        <w:t>4</w:t>
      </w:r>
      <w:r>
        <w:t>.</w:t>
      </w:r>
      <w:r>
        <w:tab/>
        <w:t>The security of her position as laboratory supervisor for the CDHPE would be threatened by disclosure of systemic laboratory error beyond those cases initiated by Mr. Fox-Rivera.</w:t>
      </w:r>
    </w:p>
    <w:p w:rsidR="00433F4C" w:rsidRDefault="00433F4C" w:rsidP="00433F4C">
      <w:pPr>
        <w:jc w:val="both"/>
      </w:pPr>
    </w:p>
    <w:p w:rsidR="00433F4C" w:rsidRDefault="00433F4C" w:rsidP="00433F4C">
      <w:pPr>
        <w:ind w:firstLine="720"/>
        <w:jc w:val="both"/>
      </w:pPr>
      <w:r>
        <w:t>3</w:t>
      </w:r>
      <w:r w:rsidR="00AE6E28">
        <w:t>5</w:t>
      </w:r>
      <w:r>
        <w:t>.</w:t>
      </w:r>
      <w:r>
        <w:tab/>
        <w:t xml:space="preserve">She purports that the lab's problems will be sufficiently resolved through independently conducted re-tests of all of all cases initiated by Mr. Fox-Rivera.  But by declining to examine the integrity of results in other cases, she is effectively shifting and spreading blame away from herself and onto Mr. Fox-Rivera.  The self-serving inference from such a limited investigation is that only the initial analyst is at fault when erroneous BAC results are obtained, while she and any other "supervising analyst," are blameless.  </w:t>
      </w:r>
    </w:p>
    <w:p w:rsidR="00433F4C" w:rsidRDefault="00433F4C" w:rsidP="00433F4C">
      <w:pPr>
        <w:jc w:val="both"/>
      </w:pPr>
    </w:p>
    <w:p w:rsidR="00433F4C" w:rsidRDefault="00433F4C" w:rsidP="00433F4C">
      <w:pPr>
        <w:ind w:firstLine="720"/>
        <w:jc w:val="both"/>
      </w:pPr>
      <w:r>
        <w:t>3</w:t>
      </w:r>
      <w:r w:rsidR="00AE6E28">
        <w:t>6</w:t>
      </w:r>
      <w:r>
        <w:t>.</w:t>
      </w:r>
      <w:r>
        <w:tab/>
        <w:t xml:space="preserve">Such limited, self-serving investigatory measures by a conflicted party cannot be deemed sufficient to assure the reliability of testing procedures where the laboratory's results are offered as grounds for a presumption against the accused.  </w:t>
      </w:r>
      <w:proofErr w:type="gramStart"/>
      <w:r>
        <w:t>When two or more people are implicated in misdeeds, the tendency of one to shift and spread blame to the other is common, and this makes self-serving assurances inherently unreliable.</w:t>
      </w:r>
      <w:proofErr w:type="gramEnd"/>
      <w:r>
        <w:t xml:space="preserve">  </w:t>
      </w:r>
      <w:r w:rsidRPr="00632501">
        <w:rPr>
          <w:i/>
        </w:rPr>
        <w:t>Lilly v. Virginia</w:t>
      </w:r>
      <w:r>
        <w:t xml:space="preserve">, 527 U.S. 116, 131 (1999); </w:t>
      </w:r>
      <w:r w:rsidRPr="00D22480">
        <w:rPr>
          <w:i/>
        </w:rPr>
        <w:t>see also</w:t>
      </w:r>
      <w:r>
        <w:t xml:space="preserve"> </w:t>
      </w:r>
      <w:r w:rsidRPr="008251F6">
        <w:rPr>
          <w:i/>
          <w:iCs/>
        </w:rPr>
        <w:t>Davis v. Alaska</w:t>
      </w:r>
      <w:r>
        <w:t>, 415 U.S. 308 (1974) (evidence bearing on a witness' bias and motivation to fabricate is a prototypical form of impeachment).</w:t>
      </w:r>
    </w:p>
    <w:p w:rsidR="00433F4C" w:rsidRDefault="00433F4C" w:rsidP="00433F4C">
      <w:pPr>
        <w:jc w:val="both"/>
      </w:pPr>
      <w:r>
        <w:t xml:space="preserve"> </w:t>
      </w:r>
    </w:p>
    <w:p w:rsidR="0066397B" w:rsidRDefault="00433F4C" w:rsidP="0066397B">
      <w:pPr>
        <w:ind w:firstLine="720"/>
        <w:jc w:val="both"/>
      </w:pPr>
      <w:r>
        <w:t>3</w:t>
      </w:r>
      <w:r w:rsidR="00AE6E28">
        <w:t>7</w:t>
      </w:r>
      <w:r>
        <w:t>.</w:t>
      </w:r>
      <w:r>
        <w:tab/>
        <w:t xml:space="preserve">In light of the foregoing, it is much more than merely "plausible,"  </w:t>
      </w:r>
      <w:r w:rsidRPr="00EF11C5">
        <w:rPr>
          <w:i/>
        </w:rPr>
        <w:t>see Ritchie, supra</w:t>
      </w:r>
      <w:r>
        <w:t xml:space="preserve">; that records relating to laboratory error at Ms. </w:t>
      </w:r>
      <w:proofErr w:type="spellStart"/>
      <w:r>
        <w:t>Burbach's</w:t>
      </w:r>
      <w:proofErr w:type="spellEnd"/>
      <w:r>
        <w:t xml:space="preserve"> laboratory have exculpatory value in </w:t>
      </w:r>
      <w:r w:rsidR="00F777E6">
        <w:t>M</w:t>
      </w:r>
      <w:r w:rsidR="000F6007">
        <w:t>*</w:t>
      </w:r>
      <w:r w:rsidR="00F777E6">
        <w:t xml:space="preserve">. </w:t>
      </w:r>
      <w:r w:rsidR="000F6007">
        <w:t>*****</w:t>
      </w:r>
      <w:r>
        <w:t>'s case.  The information relates to chemical BAC testing, which is the linchpin of the case, a</w:t>
      </w:r>
      <w:r w:rsidR="0066397B">
        <w:t>nd it is inherently exculpatory.</w:t>
      </w:r>
    </w:p>
    <w:p w:rsidR="00AE6E28" w:rsidRDefault="00AE6E28" w:rsidP="0066397B">
      <w:pPr>
        <w:ind w:firstLine="720"/>
        <w:jc w:val="center"/>
        <w:rPr>
          <w:b/>
          <w:u w:val="single"/>
        </w:rPr>
      </w:pPr>
    </w:p>
    <w:p w:rsidR="00433F4C" w:rsidRPr="0066397B" w:rsidRDefault="00433F4C" w:rsidP="0066397B">
      <w:pPr>
        <w:ind w:firstLine="720"/>
        <w:jc w:val="center"/>
      </w:pPr>
      <w:r w:rsidRPr="00F777E6">
        <w:rPr>
          <w:b/>
          <w:u w:val="single"/>
        </w:rPr>
        <w:t>CONCLUSION</w:t>
      </w:r>
    </w:p>
    <w:p w:rsidR="00433F4C" w:rsidRDefault="00433F4C" w:rsidP="00433F4C">
      <w:pPr>
        <w:jc w:val="both"/>
      </w:pPr>
    </w:p>
    <w:p w:rsidR="00F777E6" w:rsidRPr="0066397B" w:rsidRDefault="00433F4C" w:rsidP="0066397B">
      <w:pPr>
        <w:jc w:val="both"/>
      </w:pPr>
      <w:r>
        <w:tab/>
      </w:r>
      <w:proofErr w:type="gramStart"/>
      <w:r>
        <w:t xml:space="preserve">For the foregoing reasons, </w:t>
      </w:r>
      <w:r w:rsidR="00F777E6">
        <w:t>M</w:t>
      </w:r>
      <w:r w:rsidR="000F6007">
        <w:t>*</w:t>
      </w:r>
      <w:r w:rsidR="00F777E6">
        <w:t>.</w:t>
      </w:r>
      <w:proofErr w:type="gramEnd"/>
      <w:r w:rsidR="00F777E6">
        <w:t xml:space="preserve"> </w:t>
      </w:r>
      <w:r w:rsidR="000F6007">
        <w:t>*****</w:t>
      </w:r>
      <w:r>
        <w:t xml:space="preserve"> requests that the court compel the prosecution to disclose the records and information listed above or, in the alternative, to dismiss the charges:</w:t>
      </w:r>
    </w:p>
    <w:p w:rsidR="00F777E6" w:rsidRDefault="00F777E6" w:rsidP="0083759A">
      <w:pPr>
        <w:pStyle w:val="BodyText"/>
        <w:rPr>
          <w:rFonts w:ascii="Arial" w:hAnsi="Arial" w:cs="Arial"/>
          <w:b w:val="0"/>
          <w:sz w:val="24"/>
          <w:szCs w:val="24"/>
        </w:rPr>
      </w:pPr>
    </w:p>
    <w:p w:rsidR="0083759A" w:rsidRPr="00CC5278" w:rsidRDefault="0083759A" w:rsidP="0083759A">
      <w:pPr>
        <w:pStyle w:val="BodyText"/>
        <w:rPr>
          <w:rFonts w:ascii="Arial" w:hAnsi="Arial" w:cs="Arial"/>
          <w:b w:val="0"/>
          <w:sz w:val="24"/>
          <w:szCs w:val="24"/>
        </w:rPr>
      </w:pPr>
      <w:proofErr w:type="gramStart"/>
      <w:r w:rsidRPr="00CC5278">
        <w:rPr>
          <w:rFonts w:ascii="Arial" w:hAnsi="Arial" w:cs="Arial"/>
          <w:b w:val="0"/>
          <w:sz w:val="24"/>
          <w:szCs w:val="24"/>
        </w:rPr>
        <w:t xml:space="preserve">Respectfully submitted this ______ day of </w:t>
      </w:r>
      <w:r w:rsidR="00F777E6">
        <w:rPr>
          <w:rFonts w:ascii="Arial" w:hAnsi="Arial" w:cs="Arial"/>
          <w:b w:val="0"/>
          <w:sz w:val="24"/>
          <w:szCs w:val="24"/>
        </w:rPr>
        <w:t>May</w:t>
      </w:r>
      <w:r w:rsidRPr="00CC5278">
        <w:rPr>
          <w:rFonts w:ascii="Arial" w:hAnsi="Arial" w:cs="Arial"/>
          <w:b w:val="0"/>
          <w:sz w:val="24"/>
          <w:szCs w:val="24"/>
        </w:rPr>
        <w:t xml:space="preserve"> 20</w:t>
      </w:r>
      <w:r w:rsidR="008F1480">
        <w:rPr>
          <w:rFonts w:ascii="Arial" w:hAnsi="Arial" w:cs="Arial"/>
          <w:b w:val="0"/>
          <w:sz w:val="24"/>
          <w:szCs w:val="24"/>
        </w:rPr>
        <w:t>1</w:t>
      </w:r>
      <w:r w:rsidR="001C39D6">
        <w:rPr>
          <w:rFonts w:ascii="Arial" w:hAnsi="Arial" w:cs="Arial"/>
          <w:b w:val="0"/>
          <w:sz w:val="24"/>
          <w:szCs w:val="24"/>
        </w:rPr>
        <w:t>2</w:t>
      </w:r>
      <w:r w:rsidRPr="00CC5278">
        <w:rPr>
          <w:rFonts w:ascii="Arial" w:hAnsi="Arial" w:cs="Arial"/>
          <w:b w:val="0"/>
          <w:sz w:val="24"/>
          <w:szCs w:val="24"/>
        </w:rPr>
        <w:t>.</w:t>
      </w:r>
      <w:proofErr w:type="gramEnd"/>
    </w:p>
    <w:p w:rsidR="0083759A" w:rsidRDefault="0083759A">
      <w:pPr>
        <w:pStyle w:val="BodyText"/>
        <w:rPr>
          <w:rFonts w:ascii="Arial" w:hAnsi="Arial" w:cs="Arial"/>
          <w:b w:val="0"/>
          <w:sz w:val="24"/>
          <w:szCs w:val="24"/>
        </w:rPr>
      </w:pPr>
    </w:p>
    <w:p w:rsidR="002151FF" w:rsidRPr="00CC5278" w:rsidRDefault="002151FF">
      <w:pPr>
        <w:pStyle w:val="BodyText"/>
        <w:rPr>
          <w:rFonts w:ascii="Arial" w:hAnsi="Arial" w:cs="Arial"/>
          <w:b w:val="0"/>
          <w:sz w:val="24"/>
          <w:szCs w:val="24"/>
        </w:rPr>
      </w:pPr>
    </w:p>
    <w:p w:rsidR="0083759A" w:rsidRPr="00CC5278" w:rsidRDefault="0083759A">
      <w:pPr>
        <w:pStyle w:val="BodyText"/>
        <w:rPr>
          <w:rFonts w:ascii="Arial" w:hAnsi="Arial" w:cs="Arial"/>
          <w:b w:val="0"/>
          <w:sz w:val="24"/>
          <w:szCs w:val="24"/>
        </w:rPr>
      </w:pPr>
    </w:p>
    <w:p w:rsidR="00351F48" w:rsidRPr="00CC5278" w:rsidRDefault="00351F48">
      <w:pPr>
        <w:pStyle w:val="BodyText"/>
        <w:rPr>
          <w:rFonts w:ascii="Arial" w:hAnsi="Arial" w:cs="Arial"/>
          <w:b w:val="0"/>
          <w:sz w:val="24"/>
          <w:szCs w:val="24"/>
        </w:rPr>
      </w:pPr>
      <w:r w:rsidRPr="00CC5278">
        <w:rPr>
          <w:rFonts w:ascii="Arial" w:hAnsi="Arial" w:cs="Arial"/>
          <w:b w:val="0"/>
          <w:sz w:val="24"/>
          <w:szCs w:val="24"/>
        </w:rPr>
        <w:tab/>
      </w:r>
      <w:r w:rsidRPr="00CC5278">
        <w:rPr>
          <w:rFonts w:ascii="Arial" w:hAnsi="Arial" w:cs="Arial"/>
          <w:b w:val="0"/>
          <w:sz w:val="24"/>
          <w:szCs w:val="24"/>
        </w:rPr>
        <w:tab/>
      </w:r>
      <w:r w:rsidRPr="00CC5278">
        <w:rPr>
          <w:rFonts w:ascii="Arial" w:hAnsi="Arial" w:cs="Arial"/>
          <w:b w:val="0"/>
          <w:sz w:val="24"/>
          <w:szCs w:val="24"/>
        </w:rPr>
        <w:tab/>
      </w:r>
      <w:r w:rsidRPr="00CC5278">
        <w:rPr>
          <w:rFonts w:ascii="Arial" w:hAnsi="Arial" w:cs="Arial"/>
          <w:b w:val="0"/>
          <w:sz w:val="24"/>
          <w:szCs w:val="24"/>
        </w:rPr>
        <w:tab/>
      </w:r>
      <w:r w:rsidRPr="00CC5278">
        <w:rPr>
          <w:rFonts w:ascii="Arial" w:hAnsi="Arial" w:cs="Arial"/>
          <w:b w:val="0"/>
          <w:sz w:val="24"/>
          <w:szCs w:val="24"/>
        </w:rPr>
        <w:tab/>
      </w:r>
      <w:r w:rsidR="0083759A" w:rsidRPr="00CC5278">
        <w:rPr>
          <w:rFonts w:ascii="Arial" w:hAnsi="Arial" w:cs="Arial"/>
          <w:b w:val="0"/>
          <w:sz w:val="24"/>
          <w:szCs w:val="24"/>
        </w:rPr>
        <w:tab/>
        <w:t>_____________________</w:t>
      </w:r>
      <w:r w:rsidRPr="00CC5278">
        <w:rPr>
          <w:rFonts w:ascii="Arial" w:hAnsi="Arial" w:cs="Arial"/>
          <w:b w:val="0"/>
          <w:sz w:val="24"/>
          <w:szCs w:val="24"/>
        </w:rPr>
        <w:t>_____</w:t>
      </w:r>
      <w:r w:rsidR="001309AE" w:rsidRPr="00CC5278">
        <w:rPr>
          <w:rFonts w:ascii="Arial" w:hAnsi="Arial" w:cs="Arial"/>
          <w:b w:val="0"/>
          <w:sz w:val="24"/>
          <w:szCs w:val="24"/>
        </w:rPr>
        <w:t>______</w:t>
      </w:r>
    </w:p>
    <w:p w:rsidR="00351F48" w:rsidRDefault="00351F48" w:rsidP="00497383">
      <w:pPr>
        <w:pStyle w:val="BodyText"/>
        <w:rPr>
          <w:rFonts w:ascii="Arial" w:hAnsi="Arial" w:cs="Arial"/>
          <w:b w:val="0"/>
          <w:sz w:val="24"/>
          <w:szCs w:val="24"/>
        </w:rPr>
      </w:pPr>
      <w:r w:rsidRPr="00CC5278">
        <w:rPr>
          <w:rFonts w:ascii="Arial" w:hAnsi="Arial" w:cs="Arial"/>
          <w:b w:val="0"/>
          <w:sz w:val="24"/>
          <w:szCs w:val="24"/>
        </w:rPr>
        <w:tab/>
      </w:r>
      <w:r w:rsidRPr="00CC5278">
        <w:rPr>
          <w:rFonts w:ascii="Arial" w:hAnsi="Arial" w:cs="Arial"/>
          <w:b w:val="0"/>
          <w:sz w:val="24"/>
          <w:szCs w:val="24"/>
        </w:rPr>
        <w:tab/>
      </w:r>
      <w:r w:rsidRPr="00CC5278">
        <w:rPr>
          <w:rFonts w:ascii="Arial" w:hAnsi="Arial" w:cs="Arial"/>
          <w:b w:val="0"/>
          <w:sz w:val="24"/>
          <w:szCs w:val="24"/>
        </w:rPr>
        <w:tab/>
      </w:r>
      <w:r w:rsidRPr="00CC5278">
        <w:rPr>
          <w:rFonts w:ascii="Arial" w:hAnsi="Arial" w:cs="Arial"/>
          <w:b w:val="0"/>
          <w:sz w:val="24"/>
          <w:szCs w:val="24"/>
        </w:rPr>
        <w:tab/>
      </w:r>
      <w:r w:rsidRPr="00CC5278">
        <w:rPr>
          <w:rFonts w:ascii="Arial" w:hAnsi="Arial" w:cs="Arial"/>
          <w:b w:val="0"/>
          <w:sz w:val="24"/>
          <w:szCs w:val="24"/>
        </w:rPr>
        <w:tab/>
      </w:r>
      <w:r w:rsidRPr="00CC5278">
        <w:rPr>
          <w:rFonts w:ascii="Arial" w:hAnsi="Arial" w:cs="Arial"/>
          <w:b w:val="0"/>
          <w:sz w:val="24"/>
          <w:szCs w:val="24"/>
        </w:rPr>
        <w:tab/>
      </w:r>
    </w:p>
    <w:p w:rsidR="00497383" w:rsidRDefault="00497383" w:rsidP="00497383">
      <w:pPr>
        <w:pStyle w:val="BodyText"/>
        <w:rPr>
          <w:rFonts w:ascii="Arial" w:hAnsi="Arial" w:cs="Arial"/>
          <w:b w:val="0"/>
          <w:sz w:val="24"/>
          <w:szCs w:val="24"/>
        </w:rPr>
      </w:pPr>
    </w:p>
    <w:p w:rsidR="00497383" w:rsidRDefault="00497383" w:rsidP="00497383">
      <w:pPr>
        <w:pStyle w:val="BodyText"/>
        <w:rPr>
          <w:rFonts w:ascii="Arial" w:hAnsi="Arial" w:cs="Arial"/>
          <w:b w:val="0"/>
          <w:sz w:val="24"/>
          <w:szCs w:val="24"/>
        </w:rPr>
      </w:pPr>
    </w:p>
    <w:p w:rsidR="00497383" w:rsidRDefault="00497383" w:rsidP="00497383">
      <w:pPr>
        <w:pStyle w:val="BodyText"/>
        <w:rPr>
          <w:rFonts w:ascii="Arial" w:hAnsi="Arial" w:cs="Arial"/>
          <w:b w:val="0"/>
          <w:sz w:val="24"/>
          <w:szCs w:val="24"/>
        </w:rPr>
      </w:pPr>
    </w:p>
    <w:p w:rsidR="00497383" w:rsidRPr="00CC5278" w:rsidRDefault="00497383" w:rsidP="00497383">
      <w:pPr>
        <w:pStyle w:val="BodyText"/>
        <w:rPr>
          <w:rFonts w:ascii="Arial" w:hAnsi="Arial" w:cs="Arial"/>
          <w:b w:val="0"/>
          <w:sz w:val="24"/>
          <w:szCs w:val="24"/>
        </w:rPr>
      </w:pPr>
    </w:p>
    <w:p w:rsidR="0083759A" w:rsidRPr="00CC5278" w:rsidRDefault="0083759A" w:rsidP="0083759A">
      <w:pPr>
        <w:pStyle w:val="BodyText"/>
        <w:rPr>
          <w:rFonts w:ascii="Arial" w:hAnsi="Arial" w:cs="Arial"/>
          <w:b w:val="0"/>
          <w:sz w:val="24"/>
          <w:szCs w:val="24"/>
        </w:rPr>
      </w:pPr>
    </w:p>
    <w:p w:rsidR="002151FF" w:rsidRDefault="002151FF">
      <w:pPr>
        <w:pStyle w:val="BodyText"/>
        <w:rPr>
          <w:rFonts w:ascii="Arial" w:hAnsi="Arial" w:cs="Arial"/>
          <w:b w:val="0"/>
          <w:sz w:val="24"/>
          <w:szCs w:val="24"/>
        </w:rPr>
      </w:pPr>
    </w:p>
    <w:p w:rsidR="002151FF" w:rsidRPr="00CC5278" w:rsidRDefault="002151FF">
      <w:pPr>
        <w:pStyle w:val="BodyText"/>
        <w:rPr>
          <w:rFonts w:ascii="Arial" w:hAnsi="Arial" w:cs="Arial"/>
          <w:b w:val="0"/>
          <w:sz w:val="24"/>
          <w:szCs w:val="24"/>
        </w:rPr>
      </w:pPr>
    </w:p>
    <w:p w:rsidR="00F249D4" w:rsidRDefault="00F249D4">
      <w:pPr>
        <w:pStyle w:val="BodyText"/>
        <w:jc w:val="center"/>
        <w:rPr>
          <w:rFonts w:ascii="Arial" w:hAnsi="Arial" w:cs="Arial"/>
          <w:sz w:val="24"/>
          <w:szCs w:val="24"/>
        </w:rPr>
      </w:pPr>
    </w:p>
    <w:p w:rsidR="00F249D4" w:rsidRDefault="00F249D4">
      <w:pPr>
        <w:pStyle w:val="BodyText"/>
        <w:jc w:val="center"/>
        <w:rPr>
          <w:rFonts w:ascii="Arial" w:hAnsi="Arial" w:cs="Arial"/>
          <w:sz w:val="24"/>
          <w:szCs w:val="24"/>
        </w:rPr>
      </w:pPr>
    </w:p>
    <w:p w:rsidR="00F249D4" w:rsidRDefault="00F249D4">
      <w:pPr>
        <w:pStyle w:val="BodyText"/>
        <w:jc w:val="center"/>
        <w:rPr>
          <w:rFonts w:ascii="Arial" w:hAnsi="Arial" w:cs="Arial"/>
          <w:sz w:val="24"/>
          <w:szCs w:val="24"/>
        </w:rPr>
      </w:pPr>
    </w:p>
    <w:p w:rsidR="00F249D4" w:rsidRDefault="00F249D4">
      <w:pPr>
        <w:pStyle w:val="BodyText"/>
        <w:jc w:val="center"/>
        <w:rPr>
          <w:rFonts w:ascii="Arial" w:hAnsi="Arial" w:cs="Arial"/>
          <w:sz w:val="24"/>
          <w:szCs w:val="24"/>
        </w:rPr>
      </w:pPr>
    </w:p>
    <w:p w:rsidR="00F249D4" w:rsidRDefault="00F249D4">
      <w:pPr>
        <w:pStyle w:val="BodyText"/>
        <w:jc w:val="center"/>
        <w:rPr>
          <w:rFonts w:ascii="Arial" w:hAnsi="Arial" w:cs="Arial"/>
          <w:sz w:val="24"/>
          <w:szCs w:val="24"/>
        </w:rPr>
      </w:pPr>
    </w:p>
    <w:p w:rsidR="00F249D4" w:rsidRDefault="00F249D4">
      <w:pPr>
        <w:pStyle w:val="BodyText"/>
        <w:jc w:val="center"/>
        <w:rPr>
          <w:rFonts w:ascii="Arial" w:hAnsi="Arial" w:cs="Arial"/>
          <w:sz w:val="24"/>
          <w:szCs w:val="24"/>
        </w:rPr>
      </w:pPr>
    </w:p>
    <w:p w:rsidR="00F249D4" w:rsidRDefault="00F249D4">
      <w:pPr>
        <w:pStyle w:val="BodyText"/>
        <w:jc w:val="center"/>
        <w:rPr>
          <w:rFonts w:ascii="Arial" w:hAnsi="Arial" w:cs="Arial"/>
          <w:sz w:val="24"/>
          <w:szCs w:val="24"/>
        </w:rPr>
      </w:pPr>
    </w:p>
    <w:p w:rsidR="00F249D4" w:rsidRDefault="00F249D4" w:rsidP="000F6007">
      <w:pPr>
        <w:pStyle w:val="BodyText"/>
        <w:rPr>
          <w:rFonts w:ascii="Arial" w:hAnsi="Arial" w:cs="Arial"/>
          <w:sz w:val="24"/>
          <w:szCs w:val="24"/>
        </w:rPr>
      </w:pPr>
    </w:p>
    <w:p w:rsidR="000F6007" w:rsidRDefault="000F6007" w:rsidP="000F6007">
      <w:pPr>
        <w:pStyle w:val="BodyText"/>
        <w:rPr>
          <w:rFonts w:ascii="Arial" w:hAnsi="Arial" w:cs="Arial"/>
          <w:sz w:val="24"/>
          <w:szCs w:val="24"/>
        </w:rPr>
      </w:pPr>
    </w:p>
    <w:p w:rsidR="00351F48" w:rsidRPr="00CC5278" w:rsidRDefault="00351F48">
      <w:pPr>
        <w:pStyle w:val="BodyText"/>
        <w:jc w:val="center"/>
        <w:rPr>
          <w:rFonts w:ascii="Arial" w:hAnsi="Arial" w:cs="Arial"/>
          <w:sz w:val="24"/>
          <w:szCs w:val="24"/>
        </w:rPr>
      </w:pPr>
      <w:r w:rsidRPr="00CC5278">
        <w:rPr>
          <w:rFonts w:ascii="Arial" w:hAnsi="Arial" w:cs="Arial"/>
          <w:sz w:val="24"/>
          <w:szCs w:val="24"/>
        </w:rPr>
        <w:lastRenderedPageBreak/>
        <w:t>CERTIFICATE OF MAILING</w:t>
      </w:r>
    </w:p>
    <w:p w:rsidR="00351F48" w:rsidRPr="00CC5278" w:rsidRDefault="00351F48">
      <w:pPr>
        <w:pStyle w:val="BodyText"/>
        <w:jc w:val="center"/>
        <w:rPr>
          <w:rFonts w:ascii="Arial" w:hAnsi="Arial" w:cs="Arial"/>
          <w:sz w:val="24"/>
          <w:szCs w:val="24"/>
        </w:rPr>
      </w:pPr>
    </w:p>
    <w:p w:rsidR="00351F48" w:rsidRPr="00CC5278" w:rsidRDefault="00351F48">
      <w:pPr>
        <w:pStyle w:val="BodyText"/>
        <w:rPr>
          <w:rFonts w:ascii="Arial" w:hAnsi="Arial" w:cs="Arial"/>
          <w:b w:val="0"/>
          <w:sz w:val="24"/>
          <w:szCs w:val="24"/>
        </w:rPr>
      </w:pPr>
      <w:r w:rsidRPr="00CC5278">
        <w:rPr>
          <w:rFonts w:ascii="Arial" w:hAnsi="Arial" w:cs="Arial"/>
          <w:b w:val="0"/>
          <w:sz w:val="24"/>
          <w:szCs w:val="24"/>
        </w:rPr>
        <w:tab/>
        <w:t>I he</w:t>
      </w:r>
      <w:r w:rsidR="0042396D">
        <w:rPr>
          <w:rFonts w:ascii="Arial" w:hAnsi="Arial" w:cs="Arial"/>
          <w:b w:val="0"/>
          <w:sz w:val="24"/>
          <w:szCs w:val="24"/>
        </w:rPr>
        <w:t>reby certify that a true and co</w:t>
      </w:r>
      <w:r w:rsidR="0042396D" w:rsidRPr="00CC5278">
        <w:rPr>
          <w:rFonts w:ascii="Arial" w:hAnsi="Arial" w:cs="Arial"/>
          <w:b w:val="0"/>
          <w:sz w:val="24"/>
          <w:szCs w:val="24"/>
        </w:rPr>
        <w:t>r</w:t>
      </w:r>
      <w:r w:rsidR="0042396D">
        <w:rPr>
          <w:rFonts w:ascii="Arial" w:hAnsi="Arial" w:cs="Arial"/>
          <w:b w:val="0"/>
          <w:sz w:val="24"/>
          <w:szCs w:val="24"/>
        </w:rPr>
        <w:t>r</w:t>
      </w:r>
      <w:r w:rsidR="0042396D" w:rsidRPr="00CC5278">
        <w:rPr>
          <w:rFonts w:ascii="Arial" w:hAnsi="Arial" w:cs="Arial"/>
          <w:b w:val="0"/>
          <w:sz w:val="24"/>
          <w:szCs w:val="24"/>
        </w:rPr>
        <w:t>ect</w:t>
      </w:r>
      <w:r w:rsidRPr="00CC5278">
        <w:rPr>
          <w:rFonts w:ascii="Arial" w:hAnsi="Arial" w:cs="Arial"/>
          <w:b w:val="0"/>
          <w:sz w:val="24"/>
          <w:szCs w:val="24"/>
        </w:rPr>
        <w:t xml:space="preserve"> copy of the foregoing </w:t>
      </w:r>
      <w:r w:rsidR="00433F4C">
        <w:rPr>
          <w:rFonts w:ascii="Arial" w:hAnsi="Arial" w:cs="Arial"/>
          <w:b w:val="0"/>
          <w:sz w:val="24"/>
          <w:szCs w:val="24"/>
        </w:rPr>
        <w:t xml:space="preserve">Memorandum </w:t>
      </w:r>
      <w:r w:rsidRPr="00CC5278">
        <w:rPr>
          <w:rFonts w:ascii="Arial" w:hAnsi="Arial" w:cs="Arial"/>
          <w:b w:val="0"/>
          <w:sz w:val="24"/>
          <w:szCs w:val="24"/>
        </w:rPr>
        <w:t>was placed in the U.S. Mail postage pr</w:t>
      </w:r>
      <w:r w:rsidR="002151FF">
        <w:rPr>
          <w:rFonts w:ascii="Arial" w:hAnsi="Arial" w:cs="Arial"/>
          <w:b w:val="0"/>
          <w:sz w:val="24"/>
          <w:szCs w:val="24"/>
        </w:rPr>
        <w:t>epaid, first class, this __</w:t>
      </w:r>
      <w:r w:rsidR="00AF6112" w:rsidRPr="00CC5278">
        <w:rPr>
          <w:rFonts w:ascii="Arial" w:hAnsi="Arial" w:cs="Arial"/>
          <w:b w:val="0"/>
          <w:sz w:val="24"/>
          <w:szCs w:val="24"/>
        </w:rPr>
        <w:t>___</w:t>
      </w:r>
      <w:r w:rsidRPr="00CC5278">
        <w:rPr>
          <w:rFonts w:ascii="Arial" w:hAnsi="Arial" w:cs="Arial"/>
          <w:b w:val="0"/>
          <w:sz w:val="24"/>
          <w:szCs w:val="24"/>
        </w:rPr>
        <w:t xml:space="preserve"> day of </w:t>
      </w:r>
      <w:r w:rsidR="00F777E6">
        <w:rPr>
          <w:rFonts w:ascii="Arial" w:hAnsi="Arial" w:cs="Arial"/>
          <w:b w:val="0"/>
          <w:sz w:val="24"/>
          <w:szCs w:val="24"/>
        </w:rPr>
        <w:t>May</w:t>
      </w:r>
      <w:r w:rsidRPr="00CC5278">
        <w:rPr>
          <w:rFonts w:ascii="Arial" w:hAnsi="Arial" w:cs="Arial"/>
          <w:b w:val="0"/>
          <w:sz w:val="24"/>
          <w:szCs w:val="24"/>
        </w:rPr>
        <w:t xml:space="preserve"> 20</w:t>
      </w:r>
      <w:r w:rsidR="008F1480">
        <w:rPr>
          <w:rFonts w:ascii="Arial" w:hAnsi="Arial" w:cs="Arial"/>
          <w:b w:val="0"/>
          <w:sz w:val="24"/>
          <w:szCs w:val="24"/>
        </w:rPr>
        <w:t>1</w:t>
      </w:r>
      <w:r w:rsidR="001C39D6">
        <w:rPr>
          <w:rFonts w:ascii="Arial" w:hAnsi="Arial" w:cs="Arial"/>
          <w:b w:val="0"/>
          <w:sz w:val="24"/>
          <w:szCs w:val="24"/>
        </w:rPr>
        <w:t>2</w:t>
      </w:r>
      <w:r w:rsidRPr="00CC5278">
        <w:rPr>
          <w:rFonts w:ascii="Arial" w:hAnsi="Arial" w:cs="Arial"/>
          <w:b w:val="0"/>
          <w:sz w:val="24"/>
          <w:szCs w:val="24"/>
        </w:rPr>
        <w:t>, addressed to:</w:t>
      </w:r>
    </w:p>
    <w:p w:rsidR="00C537C2" w:rsidRDefault="00351F48" w:rsidP="00F777E6">
      <w:pPr>
        <w:pStyle w:val="BodyText"/>
        <w:ind w:left="2160"/>
        <w:rPr>
          <w:rFonts w:ascii="Arial" w:hAnsi="Arial" w:cs="Arial"/>
          <w:b w:val="0"/>
          <w:sz w:val="24"/>
          <w:szCs w:val="24"/>
        </w:rPr>
      </w:pPr>
      <w:r w:rsidRPr="00CC5278">
        <w:rPr>
          <w:rFonts w:ascii="Arial" w:hAnsi="Arial" w:cs="Arial"/>
          <w:sz w:val="24"/>
          <w:szCs w:val="24"/>
        </w:rPr>
        <w:tab/>
      </w:r>
      <w:r w:rsidRPr="00CC5278">
        <w:rPr>
          <w:rFonts w:ascii="Arial" w:hAnsi="Arial" w:cs="Arial"/>
          <w:sz w:val="24"/>
          <w:szCs w:val="24"/>
        </w:rPr>
        <w:tab/>
      </w:r>
      <w:r w:rsidRPr="00CC5278">
        <w:rPr>
          <w:rFonts w:ascii="Arial" w:hAnsi="Arial" w:cs="Arial"/>
          <w:sz w:val="24"/>
          <w:szCs w:val="24"/>
        </w:rPr>
        <w:tab/>
      </w:r>
      <w:r w:rsidRPr="00CC5278">
        <w:rPr>
          <w:rFonts w:ascii="Arial" w:hAnsi="Arial" w:cs="Arial"/>
          <w:sz w:val="24"/>
          <w:szCs w:val="24"/>
        </w:rPr>
        <w:tab/>
      </w:r>
      <w:r w:rsidRPr="00CC5278">
        <w:rPr>
          <w:rFonts w:ascii="Arial" w:hAnsi="Arial" w:cs="Arial"/>
          <w:sz w:val="24"/>
          <w:szCs w:val="24"/>
        </w:rPr>
        <w:tab/>
      </w:r>
      <w:r w:rsidR="00F777E6">
        <w:rPr>
          <w:rFonts w:ascii="Arial" w:hAnsi="Arial" w:cs="Arial"/>
          <w:sz w:val="24"/>
          <w:szCs w:val="24"/>
        </w:rPr>
        <w:tab/>
      </w:r>
      <w:r w:rsidR="00F777E6">
        <w:rPr>
          <w:rFonts w:ascii="Arial" w:hAnsi="Arial" w:cs="Arial"/>
          <w:sz w:val="24"/>
          <w:szCs w:val="24"/>
        </w:rPr>
        <w:tab/>
      </w:r>
      <w:r w:rsidR="00F777E6">
        <w:rPr>
          <w:rFonts w:ascii="Arial" w:hAnsi="Arial" w:cs="Arial"/>
          <w:sz w:val="24"/>
          <w:szCs w:val="24"/>
        </w:rPr>
        <w:tab/>
      </w:r>
      <w:r w:rsidR="00F777E6">
        <w:rPr>
          <w:rFonts w:ascii="Arial" w:hAnsi="Arial" w:cs="Arial"/>
          <w:sz w:val="24"/>
          <w:szCs w:val="24"/>
        </w:rPr>
        <w:tab/>
        <w:t xml:space="preserve"> </w:t>
      </w:r>
      <w:r w:rsidRPr="00CC5278">
        <w:rPr>
          <w:rFonts w:ascii="Arial" w:hAnsi="Arial" w:cs="Arial"/>
          <w:sz w:val="24"/>
          <w:szCs w:val="24"/>
        </w:rPr>
        <w:tab/>
      </w:r>
      <w:r w:rsidR="00F777E6">
        <w:rPr>
          <w:rFonts w:ascii="Arial" w:hAnsi="Arial" w:cs="Arial"/>
          <w:sz w:val="24"/>
          <w:szCs w:val="24"/>
        </w:rPr>
        <w:t xml:space="preserve">  </w:t>
      </w:r>
      <w:r w:rsidRPr="00CC5278">
        <w:rPr>
          <w:rFonts w:ascii="Arial" w:hAnsi="Arial" w:cs="Arial"/>
          <w:b w:val="0"/>
          <w:sz w:val="24"/>
          <w:szCs w:val="24"/>
        </w:rPr>
        <w:t>___________________________________________</w:t>
      </w:r>
    </w:p>
    <w:p w:rsidR="00C537C2" w:rsidRDefault="00C537C2">
      <w:pPr>
        <w:tabs>
          <w:tab w:val="clear" w:pos="720"/>
          <w:tab w:val="clear" w:pos="1440"/>
          <w:tab w:val="clear" w:pos="2160"/>
          <w:tab w:val="clear" w:pos="5040"/>
        </w:tabs>
        <w:rPr>
          <w:rFonts w:cs="Arial"/>
          <w:sz w:val="24"/>
          <w:szCs w:val="24"/>
        </w:rPr>
      </w:pPr>
      <w:r>
        <w:rPr>
          <w:rFonts w:cs="Arial"/>
          <w:b/>
          <w:sz w:val="24"/>
          <w:szCs w:val="24"/>
        </w:rPr>
        <w:br w:type="page"/>
      </w:r>
    </w:p>
    <w:p w:rsidR="00C537C2" w:rsidRDefault="007C1849" w:rsidP="00C537C2">
      <w:pPr>
        <w:pBdr>
          <w:top w:val="single" w:sz="4" w:space="0" w:color="auto"/>
          <w:left w:val="single" w:sz="4" w:space="4" w:color="auto"/>
          <w:bottom w:val="single" w:sz="4" w:space="8" w:color="auto"/>
          <w:right w:val="single" w:sz="4" w:space="0" w:color="auto"/>
        </w:pBdr>
        <w:rPr>
          <w:rFonts w:cs="Arial"/>
          <w:sz w:val="24"/>
        </w:rPr>
      </w:pPr>
      <w:r w:rsidRPr="007C1849">
        <w:rPr>
          <w:rFonts w:cs="Arial"/>
          <w:b/>
          <w:bCs/>
          <w:noProof/>
          <w:sz w:val="24"/>
        </w:rPr>
        <w:lastRenderedPageBreak/>
        <w:pict>
          <v:shape id="_x0000_s1028" style="position:absolute;margin-left:289.15pt;margin-top:1.15pt;width:.75pt;height:264.25pt;z-index:251660288" coordsize="15,5737" path="m,l15,5737e" filled="f">
            <v:path arrowok="t"/>
          </v:shape>
        </w:pict>
      </w:r>
      <w:r w:rsidR="00C537C2">
        <w:rPr>
          <w:rFonts w:cs="Arial"/>
          <w:sz w:val="24"/>
        </w:rPr>
        <w:t xml:space="preserve">County Court, </w:t>
      </w:r>
      <w:smartTag w:uri="urn:schemas-microsoft-com:office:smarttags" w:element="place">
        <w:smartTag w:uri="urn:schemas-microsoft-com:office:smarttags" w:element="City">
          <w:r w:rsidR="00C537C2">
            <w:rPr>
              <w:rFonts w:cs="Arial"/>
              <w:sz w:val="24"/>
            </w:rPr>
            <w:t>El Paso County</w:t>
          </w:r>
        </w:smartTag>
        <w:r w:rsidR="00C537C2">
          <w:rPr>
            <w:rFonts w:cs="Arial"/>
            <w:sz w:val="24"/>
          </w:rPr>
          <w:t xml:space="preserve">, </w:t>
        </w:r>
        <w:smartTag w:uri="urn:schemas-microsoft-com:office:smarttags" w:element="State">
          <w:r w:rsidR="00C537C2">
            <w:rPr>
              <w:rFonts w:cs="Arial"/>
              <w:sz w:val="24"/>
            </w:rPr>
            <w:t>Colorado</w:t>
          </w:r>
        </w:smartTag>
      </w:smartTag>
      <w:r w:rsidR="00C537C2">
        <w:rPr>
          <w:rFonts w:cs="Arial"/>
          <w:sz w:val="24"/>
        </w:rPr>
        <w:tab/>
      </w:r>
      <w:r w:rsidR="00C537C2">
        <w:rPr>
          <w:rFonts w:cs="Arial"/>
          <w:sz w:val="24"/>
        </w:rPr>
        <w:tab/>
      </w:r>
    </w:p>
    <w:p w:rsidR="00C537C2" w:rsidRDefault="00C537C2" w:rsidP="00C537C2">
      <w:pPr>
        <w:pBdr>
          <w:top w:val="single" w:sz="4" w:space="0" w:color="auto"/>
          <w:left w:val="single" w:sz="4" w:space="4" w:color="auto"/>
          <w:bottom w:val="single" w:sz="4" w:space="8" w:color="auto"/>
          <w:right w:val="single" w:sz="4" w:space="0" w:color="auto"/>
        </w:pBdr>
        <w:rPr>
          <w:rFonts w:cs="Arial"/>
          <w:sz w:val="24"/>
        </w:rPr>
      </w:pPr>
      <w:smartTag w:uri="urn:schemas-microsoft-com:office:smarttags" w:element="address">
        <w:smartTag w:uri="urn:schemas-microsoft-com:office:smarttags" w:element="Street">
          <w:r>
            <w:rPr>
              <w:rFonts w:cs="Arial"/>
              <w:sz w:val="24"/>
            </w:rPr>
            <w:t>P.O. Box</w:t>
          </w:r>
        </w:smartTag>
        <w:r>
          <w:rPr>
            <w:rFonts w:cs="Arial"/>
            <w:sz w:val="24"/>
          </w:rPr>
          <w:t xml:space="preserve"> 2980</w:t>
        </w:r>
      </w:smartTag>
    </w:p>
    <w:p w:rsidR="00C537C2" w:rsidRDefault="00C537C2" w:rsidP="00C537C2">
      <w:pPr>
        <w:pBdr>
          <w:top w:val="single" w:sz="4" w:space="0" w:color="auto"/>
          <w:left w:val="single" w:sz="4" w:space="4" w:color="auto"/>
          <w:bottom w:val="single" w:sz="4" w:space="8" w:color="auto"/>
          <w:right w:val="single" w:sz="4" w:space="0" w:color="auto"/>
        </w:pBdr>
        <w:rPr>
          <w:rFonts w:cs="Arial"/>
          <w:sz w:val="24"/>
        </w:rPr>
      </w:pPr>
      <w:smartTag w:uri="urn:schemas-microsoft-com:office:smarttags" w:element="place">
        <w:smartTag w:uri="urn:schemas-microsoft-com:office:smarttags" w:element="City">
          <w:r>
            <w:rPr>
              <w:rFonts w:cs="Arial"/>
              <w:sz w:val="24"/>
            </w:rPr>
            <w:t>Colorado Springs</w:t>
          </w:r>
        </w:smartTag>
        <w:r>
          <w:rPr>
            <w:rFonts w:cs="Arial"/>
            <w:sz w:val="24"/>
          </w:rPr>
          <w:t xml:space="preserve">, </w:t>
        </w:r>
        <w:smartTag w:uri="urn:schemas-microsoft-com:office:smarttags" w:element="State">
          <w:r>
            <w:rPr>
              <w:rFonts w:cs="Arial"/>
              <w:sz w:val="24"/>
            </w:rPr>
            <w:t>CO</w:t>
          </w:r>
        </w:smartTag>
        <w:r>
          <w:rPr>
            <w:rFonts w:cs="Arial"/>
            <w:sz w:val="24"/>
          </w:rPr>
          <w:t xml:space="preserve">  </w:t>
        </w:r>
        <w:smartTag w:uri="urn:schemas-microsoft-com:office:smarttags" w:element="PostalCode">
          <w:r>
            <w:rPr>
              <w:rFonts w:cs="Arial"/>
              <w:sz w:val="24"/>
            </w:rPr>
            <w:t>80901-2980</w:t>
          </w:r>
        </w:smartTag>
      </w:smartTag>
    </w:p>
    <w:p w:rsidR="00C537C2" w:rsidRDefault="00C537C2" w:rsidP="00C537C2">
      <w:pPr>
        <w:pBdr>
          <w:top w:val="single" w:sz="4" w:space="0" w:color="auto"/>
          <w:left w:val="single" w:sz="4" w:space="4" w:color="auto"/>
          <w:bottom w:val="single" w:sz="4" w:space="8" w:color="auto"/>
          <w:right w:val="single" w:sz="4" w:space="0" w:color="auto"/>
        </w:pBdr>
        <w:rPr>
          <w:rFonts w:cs="Arial"/>
          <w:sz w:val="24"/>
        </w:rPr>
      </w:pPr>
      <w:r>
        <w:rPr>
          <w:rFonts w:cs="Arial"/>
          <w:sz w:val="24"/>
          <w:u w:val="single"/>
        </w:rPr>
        <w:t xml:space="preserve">719-448-7577                                                                </w:t>
      </w:r>
      <w:r>
        <w:rPr>
          <w:rFonts w:cs="Arial"/>
          <w:sz w:val="24"/>
        </w:rPr>
        <w:t xml:space="preserve">                                                              </w:t>
      </w:r>
    </w:p>
    <w:p w:rsidR="00C537C2" w:rsidRPr="0083759A" w:rsidRDefault="00C537C2" w:rsidP="00C537C2">
      <w:pPr>
        <w:pBdr>
          <w:top w:val="single" w:sz="4" w:space="0" w:color="auto"/>
          <w:left w:val="single" w:sz="4" w:space="4" w:color="auto"/>
          <w:bottom w:val="single" w:sz="4" w:space="8" w:color="auto"/>
          <w:right w:val="single" w:sz="4" w:space="0" w:color="auto"/>
        </w:pBdr>
        <w:rPr>
          <w:rFonts w:cs="Arial"/>
          <w:sz w:val="16"/>
          <w:szCs w:val="16"/>
        </w:rPr>
      </w:pPr>
    </w:p>
    <w:p w:rsidR="00C537C2" w:rsidRDefault="00C537C2" w:rsidP="00C537C2">
      <w:pPr>
        <w:pBdr>
          <w:top w:val="single" w:sz="4" w:space="0" w:color="auto"/>
          <w:left w:val="single" w:sz="4" w:space="4" w:color="auto"/>
          <w:bottom w:val="single" w:sz="4" w:space="8" w:color="auto"/>
          <w:right w:val="single" w:sz="4" w:space="0" w:color="auto"/>
        </w:pBdr>
        <w:rPr>
          <w:rFonts w:cs="Arial"/>
          <w:sz w:val="24"/>
        </w:rPr>
      </w:pPr>
      <w:r>
        <w:rPr>
          <w:rFonts w:cs="Arial"/>
          <w:sz w:val="24"/>
        </w:rPr>
        <w:t xml:space="preserve">THE PEOPLE OF THE STATE OF </w:t>
      </w:r>
      <w:smartTag w:uri="urn:schemas-microsoft-com:office:smarttags" w:element="State">
        <w:smartTag w:uri="urn:schemas-microsoft-com:office:smarttags" w:element="place">
          <w:r>
            <w:rPr>
              <w:rFonts w:cs="Arial"/>
              <w:sz w:val="24"/>
            </w:rPr>
            <w:t>COLORADO</w:t>
          </w:r>
        </w:smartTag>
      </w:smartTag>
      <w:r>
        <w:rPr>
          <w:rFonts w:cs="Arial"/>
          <w:sz w:val="24"/>
        </w:rPr>
        <w:t>,</w:t>
      </w:r>
    </w:p>
    <w:p w:rsidR="00C537C2" w:rsidRPr="0083759A" w:rsidRDefault="00C537C2" w:rsidP="00C537C2">
      <w:pPr>
        <w:pBdr>
          <w:top w:val="single" w:sz="4" w:space="0" w:color="auto"/>
          <w:left w:val="single" w:sz="4" w:space="4" w:color="auto"/>
          <w:bottom w:val="single" w:sz="4" w:space="8" w:color="auto"/>
          <w:right w:val="single" w:sz="4" w:space="0" w:color="auto"/>
        </w:pBdr>
        <w:rPr>
          <w:rFonts w:cs="Arial"/>
          <w:sz w:val="16"/>
          <w:szCs w:val="16"/>
        </w:rPr>
      </w:pPr>
    </w:p>
    <w:p w:rsidR="00C537C2" w:rsidRDefault="00C537C2" w:rsidP="00C537C2">
      <w:pPr>
        <w:pBdr>
          <w:top w:val="single" w:sz="4" w:space="0" w:color="auto"/>
          <w:left w:val="single" w:sz="4" w:space="4" w:color="auto"/>
          <w:bottom w:val="single" w:sz="4" w:space="8" w:color="auto"/>
          <w:right w:val="single" w:sz="4" w:space="0" w:color="auto"/>
        </w:pBdr>
        <w:rPr>
          <w:rFonts w:cs="Arial"/>
          <w:sz w:val="24"/>
        </w:rPr>
      </w:pPr>
      <w:r>
        <w:rPr>
          <w:rFonts w:cs="Arial"/>
          <w:sz w:val="24"/>
        </w:rPr>
        <w:t>Plaintiff,</w:t>
      </w:r>
    </w:p>
    <w:p w:rsidR="00C537C2" w:rsidRPr="0083759A" w:rsidRDefault="00C537C2" w:rsidP="00C537C2">
      <w:pPr>
        <w:pBdr>
          <w:top w:val="single" w:sz="4" w:space="0" w:color="auto"/>
          <w:left w:val="single" w:sz="4" w:space="4" w:color="auto"/>
          <w:bottom w:val="single" w:sz="4" w:space="8" w:color="auto"/>
          <w:right w:val="single" w:sz="4" w:space="0" w:color="auto"/>
        </w:pBdr>
        <w:rPr>
          <w:rFonts w:cs="Arial"/>
          <w:sz w:val="16"/>
          <w:szCs w:val="16"/>
        </w:rPr>
      </w:pPr>
    </w:p>
    <w:p w:rsidR="00C537C2" w:rsidRDefault="00C537C2" w:rsidP="00C537C2">
      <w:pPr>
        <w:pBdr>
          <w:top w:val="single" w:sz="4" w:space="0" w:color="auto"/>
          <w:left w:val="single" w:sz="4" w:space="4" w:color="auto"/>
          <w:bottom w:val="single" w:sz="4" w:space="8" w:color="auto"/>
          <w:right w:val="single" w:sz="4" w:space="0" w:color="auto"/>
        </w:pBdr>
        <w:rPr>
          <w:rFonts w:cs="Arial"/>
          <w:sz w:val="24"/>
        </w:rPr>
      </w:pPr>
      <w:r>
        <w:rPr>
          <w:rFonts w:cs="Arial"/>
          <w:sz w:val="24"/>
        </w:rPr>
        <w:t>v.</w:t>
      </w:r>
    </w:p>
    <w:p w:rsidR="00C537C2" w:rsidRPr="0083759A" w:rsidRDefault="00C537C2" w:rsidP="00C537C2">
      <w:pPr>
        <w:pBdr>
          <w:top w:val="single" w:sz="4" w:space="0" w:color="auto"/>
          <w:left w:val="single" w:sz="4" w:space="4" w:color="auto"/>
          <w:bottom w:val="single" w:sz="4" w:space="8" w:color="auto"/>
          <w:right w:val="single" w:sz="4" w:space="0" w:color="auto"/>
        </w:pBdr>
        <w:rPr>
          <w:rFonts w:cs="Arial"/>
          <w:sz w:val="16"/>
          <w:szCs w:val="16"/>
        </w:rPr>
      </w:pPr>
    </w:p>
    <w:p w:rsidR="00C537C2" w:rsidRDefault="000F6007" w:rsidP="00C537C2">
      <w:pPr>
        <w:pBdr>
          <w:top w:val="single" w:sz="4" w:space="0" w:color="auto"/>
          <w:left w:val="single" w:sz="4" w:space="4" w:color="auto"/>
          <w:bottom w:val="single" w:sz="4" w:space="8" w:color="auto"/>
          <w:right w:val="single" w:sz="4" w:space="0" w:color="auto"/>
        </w:pBdr>
        <w:rPr>
          <w:rFonts w:cs="Arial"/>
          <w:sz w:val="24"/>
        </w:rPr>
      </w:pPr>
      <w:r>
        <w:rPr>
          <w:rFonts w:cs="Arial"/>
          <w:sz w:val="24"/>
        </w:rPr>
        <w:t>*****</w:t>
      </w:r>
      <w:r w:rsidR="00F777E6">
        <w:rPr>
          <w:rFonts w:cs="Arial"/>
          <w:sz w:val="24"/>
        </w:rPr>
        <w:t xml:space="preserve"> </w:t>
      </w:r>
      <w:r>
        <w:rPr>
          <w:rFonts w:cs="Arial"/>
          <w:sz w:val="24"/>
        </w:rPr>
        <w:t>*****</w:t>
      </w:r>
      <w:r w:rsidR="00C537C2">
        <w:rPr>
          <w:rFonts w:cs="Arial"/>
          <w:sz w:val="24"/>
        </w:rPr>
        <w:t>,</w:t>
      </w:r>
    </w:p>
    <w:p w:rsidR="00C537C2" w:rsidRPr="0083759A" w:rsidRDefault="00C537C2" w:rsidP="00C537C2">
      <w:pPr>
        <w:pBdr>
          <w:top w:val="single" w:sz="4" w:space="0" w:color="auto"/>
          <w:left w:val="single" w:sz="4" w:space="4" w:color="auto"/>
          <w:bottom w:val="single" w:sz="4" w:space="8" w:color="auto"/>
          <w:right w:val="single" w:sz="4" w:space="0" w:color="auto"/>
        </w:pBdr>
        <w:rPr>
          <w:rFonts w:cs="Arial"/>
          <w:sz w:val="16"/>
          <w:szCs w:val="16"/>
        </w:rPr>
      </w:pPr>
    </w:p>
    <w:p w:rsidR="00C537C2" w:rsidRDefault="00C537C2" w:rsidP="00C537C2">
      <w:pPr>
        <w:pBdr>
          <w:top w:val="single" w:sz="4" w:space="0" w:color="auto"/>
          <w:left w:val="single" w:sz="4" w:space="4" w:color="auto"/>
          <w:bottom w:val="single" w:sz="4" w:space="8" w:color="auto"/>
          <w:right w:val="single" w:sz="4" w:space="0" w:color="auto"/>
        </w:pBdr>
        <w:rPr>
          <w:rFonts w:cs="Arial"/>
          <w:sz w:val="24"/>
        </w:rPr>
      </w:pPr>
      <w:r>
        <w:rPr>
          <w:rFonts w:cs="Arial"/>
          <w:sz w:val="24"/>
        </w:rPr>
        <w:t>Defendant.</w:t>
      </w:r>
    </w:p>
    <w:p w:rsidR="00C537C2" w:rsidRDefault="00C537C2" w:rsidP="00C537C2">
      <w:pPr>
        <w:pBdr>
          <w:top w:val="single" w:sz="4" w:space="0" w:color="auto"/>
          <w:left w:val="single" w:sz="4" w:space="4" w:color="auto"/>
          <w:bottom w:val="single" w:sz="4" w:space="8" w:color="auto"/>
          <w:right w:val="single" w:sz="4" w:space="0" w:color="auto"/>
        </w:pBdr>
        <w:rPr>
          <w:rFonts w:cs="Arial"/>
        </w:rPr>
      </w:pPr>
      <w:r>
        <w:rPr>
          <w:rFonts w:cs="Arial"/>
          <w:u w:val="single"/>
        </w:rPr>
        <w:t xml:space="preserve">                                                              </w:t>
      </w:r>
      <w:r w:rsidR="00F777E6">
        <w:rPr>
          <w:rFonts w:cs="Arial"/>
          <w:u w:val="single"/>
        </w:rPr>
        <w:t xml:space="preserve">                      </w:t>
      </w:r>
      <w:r>
        <w:rPr>
          <w:rFonts w:cs="Arial"/>
          <w:u w:val="single"/>
        </w:rPr>
        <w:t xml:space="preserve">  COURT USE ONLY                               </w:t>
      </w:r>
    </w:p>
    <w:p w:rsidR="00C537C2" w:rsidRDefault="00497383" w:rsidP="00C537C2">
      <w:pPr>
        <w:pBdr>
          <w:top w:val="single" w:sz="4" w:space="0" w:color="auto"/>
          <w:left w:val="single" w:sz="4" w:space="4" w:color="auto"/>
          <w:bottom w:val="single" w:sz="4" w:space="8" w:color="auto"/>
          <w:right w:val="single" w:sz="4" w:space="0" w:color="auto"/>
        </w:pBdr>
        <w:tabs>
          <w:tab w:val="left" w:pos="6076"/>
        </w:tabs>
        <w:rPr>
          <w:rFonts w:cs="Arial"/>
          <w:sz w:val="24"/>
        </w:rPr>
      </w:pPr>
      <w:r>
        <w:rPr>
          <w:rFonts w:cs="Arial"/>
          <w:sz w:val="24"/>
        </w:rPr>
        <w:tab/>
      </w:r>
      <w:r>
        <w:rPr>
          <w:rFonts w:cs="Arial"/>
          <w:sz w:val="24"/>
        </w:rPr>
        <w:tab/>
      </w:r>
      <w:r>
        <w:rPr>
          <w:rFonts w:cs="Arial"/>
          <w:sz w:val="24"/>
        </w:rPr>
        <w:tab/>
      </w:r>
      <w:r w:rsidR="00433F4C">
        <w:rPr>
          <w:rFonts w:cs="Arial"/>
          <w:sz w:val="24"/>
        </w:rPr>
        <w:tab/>
      </w:r>
      <w:r w:rsidR="00433F4C">
        <w:rPr>
          <w:rFonts w:cs="Arial"/>
          <w:sz w:val="24"/>
        </w:rPr>
        <w:tab/>
        <w:t xml:space="preserve">Case No:  </w:t>
      </w:r>
      <w:r w:rsidR="00C537C2">
        <w:rPr>
          <w:rFonts w:cs="Arial"/>
          <w:sz w:val="24"/>
        </w:rPr>
        <w:t xml:space="preserve"> </w:t>
      </w:r>
    </w:p>
    <w:p w:rsidR="00497383" w:rsidRDefault="00497383" w:rsidP="00C537C2">
      <w:pPr>
        <w:pBdr>
          <w:top w:val="single" w:sz="4" w:space="0" w:color="auto"/>
          <w:left w:val="single" w:sz="4" w:space="4" w:color="auto"/>
          <w:bottom w:val="single" w:sz="4" w:space="8" w:color="auto"/>
          <w:right w:val="single" w:sz="4" w:space="0" w:color="auto"/>
        </w:pBdr>
        <w:tabs>
          <w:tab w:val="left" w:pos="6076"/>
        </w:tabs>
        <w:rPr>
          <w:rFonts w:cs="Arial"/>
          <w:sz w:val="24"/>
        </w:rPr>
      </w:pPr>
      <w:r>
        <w:rPr>
          <w:rFonts w:cs="Arial"/>
          <w:sz w:val="24"/>
        </w:rPr>
        <w:tab/>
      </w:r>
      <w:r>
        <w:rPr>
          <w:rFonts w:cs="Arial"/>
          <w:sz w:val="24"/>
        </w:rPr>
        <w:tab/>
      </w:r>
      <w:r>
        <w:rPr>
          <w:rFonts w:cs="Arial"/>
          <w:sz w:val="24"/>
        </w:rPr>
        <w:tab/>
      </w:r>
    </w:p>
    <w:p w:rsidR="00497383" w:rsidRDefault="00497383" w:rsidP="00C537C2">
      <w:pPr>
        <w:pBdr>
          <w:top w:val="single" w:sz="4" w:space="0" w:color="auto"/>
          <w:left w:val="single" w:sz="4" w:space="4" w:color="auto"/>
          <w:bottom w:val="single" w:sz="4" w:space="8" w:color="auto"/>
          <w:right w:val="single" w:sz="4" w:space="0" w:color="auto"/>
        </w:pBdr>
        <w:tabs>
          <w:tab w:val="left" w:pos="6076"/>
        </w:tabs>
        <w:rPr>
          <w:rFonts w:cs="Arial"/>
          <w:sz w:val="24"/>
        </w:rPr>
      </w:pPr>
    </w:p>
    <w:p w:rsidR="00C537C2" w:rsidRDefault="00497383" w:rsidP="00C537C2">
      <w:pPr>
        <w:pBdr>
          <w:top w:val="single" w:sz="4" w:space="0" w:color="auto"/>
          <w:left w:val="single" w:sz="4" w:space="4" w:color="auto"/>
          <w:bottom w:val="single" w:sz="4" w:space="8" w:color="auto"/>
          <w:right w:val="single" w:sz="4" w:space="0" w:color="auto"/>
        </w:pBdr>
        <w:tabs>
          <w:tab w:val="left" w:pos="6076"/>
        </w:tabs>
        <w:rPr>
          <w:rFonts w:cs="Arial"/>
          <w:sz w:val="24"/>
        </w:rPr>
      </w:pPr>
      <w:r>
        <w:rPr>
          <w:rFonts w:cs="Arial"/>
          <w:sz w:val="24"/>
        </w:rPr>
        <w:tab/>
      </w:r>
      <w:r>
        <w:rPr>
          <w:rFonts w:cs="Arial"/>
          <w:sz w:val="24"/>
        </w:rPr>
        <w:tab/>
      </w:r>
      <w:r>
        <w:rPr>
          <w:rFonts w:cs="Arial"/>
          <w:sz w:val="24"/>
        </w:rPr>
        <w:tab/>
      </w:r>
      <w:r w:rsidR="00C537C2">
        <w:rPr>
          <w:rFonts w:cs="Arial"/>
          <w:sz w:val="24"/>
        </w:rPr>
        <w:tab/>
      </w:r>
      <w:r w:rsidR="00C537C2">
        <w:rPr>
          <w:rFonts w:cs="Arial"/>
          <w:sz w:val="24"/>
        </w:rPr>
        <w:tab/>
      </w:r>
      <w:r w:rsidR="00A8675A">
        <w:rPr>
          <w:rFonts w:cs="Arial"/>
          <w:sz w:val="24"/>
        </w:rPr>
        <w:t>Div</w:t>
      </w:r>
      <w:r w:rsidR="00C537C2">
        <w:rPr>
          <w:rFonts w:cs="Arial"/>
          <w:sz w:val="24"/>
        </w:rPr>
        <w:t xml:space="preserve">: </w:t>
      </w:r>
      <w:r w:rsidR="000F6007">
        <w:rPr>
          <w:rFonts w:cs="Arial"/>
          <w:sz w:val="24"/>
        </w:rPr>
        <w:t xml:space="preserve"> Courtroom:</w:t>
      </w:r>
    </w:p>
    <w:p w:rsidR="00C537C2" w:rsidRDefault="00C537C2" w:rsidP="00C537C2">
      <w:pPr>
        <w:pBdr>
          <w:top w:val="single" w:sz="4" w:space="0" w:color="auto"/>
          <w:left w:val="single" w:sz="4" w:space="4" w:color="auto"/>
          <w:bottom w:val="single" w:sz="4" w:space="8" w:color="auto"/>
          <w:right w:val="single" w:sz="4" w:space="0" w:color="auto"/>
        </w:pBdr>
        <w:tabs>
          <w:tab w:val="left" w:pos="6076"/>
        </w:tabs>
        <w:rPr>
          <w:rFonts w:cs="Arial"/>
          <w:sz w:val="20"/>
          <w:u w:val="single"/>
        </w:rPr>
      </w:pPr>
      <w:r>
        <w:rPr>
          <w:rFonts w:cs="Arial"/>
          <w:sz w:val="20"/>
          <w:u w:val="single"/>
        </w:rPr>
        <w:t xml:space="preserve">                                                                                                                                                                 </w:t>
      </w:r>
    </w:p>
    <w:p w:rsidR="00C537C2" w:rsidRPr="00626C88" w:rsidRDefault="00C537C2" w:rsidP="00C537C2">
      <w:pPr>
        <w:pStyle w:val="Heading1"/>
        <w:rPr>
          <w:rFonts w:ascii="Arial" w:hAnsi="Arial" w:cs="Arial"/>
          <w:sz w:val="16"/>
          <w:szCs w:val="16"/>
        </w:rPr>
      </w:pPr>
    </w:p>
    <w:p w:rsidR="00C537C2" w:rsidRDefault="00C537C2" w:rsidP="00C537C2">
      <w:pPr>
        <w:pStyle w:val="Heading1"/>
        <w:rPr>
          <w:rFonts w:ascii="Arial" w:hAnsi="Arial" w:cs="Arial"/>
        </w:rPr>
      </w:pPr>
      <w:r>
        <w:rPr>
          <w:rFonts w:ascii="Arial" w:hAnsi="Arial" w:cs="Arial"/>
        </w:rPr>
        <w:t xml:space="preserve">ORDER RE: </w:t>
      </w:r>
      <w:r w:rsidR="00433F4C">
        <w:rPr>
          <w:rFonts w:ascii="Arial" w:hAnsi="Arial" w:cs="Arial"/>
        </w:rPr>
        <w:t>MEMORANDUM OF LAW</w:t>
      </w:r>
    </w:p>
    <w:p w:rsidR="00C537C2" w:rsidRPr="007471F8" w:rsidRDefault="00C537C2" w:rsidP="004B1319">
      <w:pPr>
        <w:pStyle w:val="BodyText"/>
        <w:rPr>
          <w:rFonts w:ascii="Arial" w:hAnsi="Arial" w:cs="Arial"/>
          <w:b w:val="0"/>
          <w:sz w:val="24"/>
          <w:szCs w:val="24"/>
        </w:rPr>
      </w:pPr>
    </w:p>
    <w:p w:rsidR="00C537C2" w:rsidRPr="007471F8" w:rsidRDefault="00C537C2" w:rsidP="004B1319">
      <w:pPr>
        <w:pStyle w:val="BodyText"/>
        <w:rPr>
          <w:rFonts w:ascii="Arial" w:hAnsi="Arial" w:cs="Arial"/>
          <w:b w:val="0"/>
          <w:sz w:val="24"/>
          <w:szCs w:val="24"/>
        </w:rPr>
      </w:pPr>
    </w:p>
    <w:p w:rsidR="007471F8" w:rsidRPr="007471F8" w:rsidRDefault="007471F8" w:rsidP="007471F8">
      <w:pPr>
        <w:tabs>
          <w:tab w:val="left" w:pos="-1497"/>
          <w:tab w:val="left" w:pos="-777"/>
          <w:tab w:val="left" w:pos="624"/>
          <w:tab w:val="left" w:pos="1248"/>
          <w:tab w:val="left" w:pos="4263"/>
          <w:tab w:val="left" w:pos="4983"/>
        </w:tabs>
        <w:jc w:val="both"/>
        <w:rPr>
          <w:rFonts w:cs="Arial"/>
          <w:sz w:val="24"/>
          <w:szCs w:val="24"/>
        </w:rPr>
      </w:pPr>
      <w:r w:rsidRPr="007471F8">
        <w:rPr>
          <w:rFonts w:cs="Arial"/>
          <w:bCs/>
          <w:sz w:val="24"/>
          <w:szCs w:val="24"/>
        </w:rPr>
        <w:t>THIS MATTER</w:t>
      </w:r>
      <w:r w:rsidRPr="007471F8">
        <w:rPr>
          <w:rFonts w:cs="Arial"/>
          <w:sz w:val="24"/>
          <w:szCs w:val="24"/>
        </w:rPr>
        <w:t xml:space="preserve"> having come before the Court upon Defendant’s </w:t>
      </w:r>
      <w:proofErr w:type="gramStart"/>
      <w:r w:rsidR="00433F4C">
        <w:rPr>
          <w:rFonts w:cs="Arial"/>
          <w:sz w:val="24"/>
          <w:szCs w:val="24"/>
        </w:rPr>
        <w:t>Memorandum</w:t>
      </w:r>
      <w:r w:rsidRPr="007471F8">
        <w:rPr>
          <w:rFonts w:cs="Arial"/>
          <w:sz w:val="24"/>
          <w:szCs w:val="24"/>
        </w:rPr>
        <w:t>,</w:t>
      </w:r>
      <w:proofErr w:type="gramEnd"/>
      <w:r w:rsidRPr="007471F8">
        <w:rPr>
          <w:rFonts w:cs="Arial"/>
          <w:sz w:val="24"/>
          <w:szCs w:val="24"/>
        </w:rPr>
        <w:t xml:space="preserve"> and the Court being fully advised;</w:t>
      </w:r>
    </w:p>
    <w:p w:rsidR="007471F8" w:rsidRPr="007471F8" w:rsidRDefault="007471F8" w:rsidP="007471F8">
      <w:pPr>
        <w:tabs>
          <w:tab w:val="left" w:pos="-1497"/>
          <w:tab w:val="left" w:pos="-777"/>
          <w:tab w:val="left" w:pos="624"/>
          <w:tab w:val="left" w:pos="1248"/>
          <w:tab w:val="left" w:pos="4263"/>
          <w:tab w:val="left" w:pos="4983"/>
        </w:tabs>
        <w:jc w:val="both"/>
        <w:rPr>
          <w:rFonts w:cs="Arial"/>
          <w:sz w:val="24"/>
          <w:szCs w:val="24"/>
        </w:rPr>
      </w:pPr>
    </w:p>
    <w:p w:rsidR="007471F8" w:rsidRDefault="007471F8" w:rsidP="007471F8">
      <w:pPr>
        <w:tabs>
          <w:tab w:val="left" w:pos="-1497"/>
          <w:tab w:val="left" w:pos="-777"/>
          <w:tab w:val="left" w:pos="624"/>
          <w:tab w:val="left" w:pos="1248"/>
          <w:tab w:val="left" w:pos="4263"/>
          <w:tab w:val="left" w:pos="4983"/>
        </w:tabs>
        <w:jc w:val="both"/>
        <w:rPr>
          <w:rFonts w:cs="Arial"/>
          <w:sz w:val="24"/>
          <w:szCs w:val="24"/>
        </w:rPr>
      </w:pPr>
    </w:p>
    <w:p w:rsidR="00433F4C" w:rsidRDefault="007471F8" w:rsidP="00433F4C">
      <w:pPr>
        <w:tabs>
          <w:tab w:val="left" w:pos="-1497"/>
          <w:tab w:val="left" w:pos="-777"/>
          <w:tab w:val="left" w:pos="624"/>
          <w:tab w:val="left" w:pos="1248"/>
          <w:tab w:val="left" w:pos="4263"/>
          <w:tab w:val="left" w:pos="4983"/>
        </w:tabs>
        <w:jc w:val="both"/>
        <w:rPr>
          <w:rFonts w:cs="Arial"/>
          <w:sz w:val="24"/>
          <w:szCs w:val="24"/>
        </w:rPr>
      </w:pPr>
      <w:r w:rsidRPr="007471F8">
        <w:rPr>
          <w:rFonts w:cs="Arial"/>
          <w:bCs/>
          <w:sz w:val="24"/>
          <w:szCs w:val="24"/>
        </w:rPr>
        <w:t>HEREBY GRANTS</w:t>
      </w:r>
      <w:r w:rsidRPr="007471F8">
        <w:rPr>
          <w:rFonts w:cs="Arial"/>
          <w:sz w:val="24"/>
          <w:szCs w:val="24"/>
        </w:rPr>
        <w:t xml:space="preserve"> Defendant’s request</w:t>
      </w:r>
      <w:r w:rsidR="00433F4C">
        <w:rPr>
          <w:rFonts w:cs="Arial"/>
          <w:sz w:val="24"/>
          <w:szCs w:val="24"/>
        </w:rPr>
        <w:t>________________________________</w:t>
      </w:r>
    </w:p>
    <w:p w:rsidR="00433F4C" w:rsidRDefault="00433F4C" w:rsidP="00433F4C">
      <w:pPr>
        <w:tabs>
          <w:tab w:val="left" w:pos="-1497"/>
          <w:tab w:val="left" w:pos="-777"/>
          <w:tab w:val="left" w:pos="624"/>
          <w:tab w:val="left" w:pos="1248"/>
          <w:tab w:val="left" w:pos="4263"/>
          <w:tab w:val="left" w:pos="4983"/>
        </w:tabs>
        <w:jc w:val="both"/>
        <w:rPr>
          <w:rFonts w:cs="Arial"/>
          <w:sz w:val="24"/>
          <w:szCs w:val="24"/>
        </w:rPr>
      </w:pPr>
    </w:p>
    <w:p w:rsidR="007471F8" w:rsidRPr="007471F8" w:rsidRDefault="00433F4C" w:rsidP="00433F4C">
      <w:pPr>
        <w:tabs>
          <w:tab w:val="left" w:pos="-1497"/>
          <w:tab w:val="left" w:pos="-777"/>
          <w:tab w:val="left" w:pos="624"/>
          <w:tab w:val="left" w:pos="1248"/>
          <w:tab w:val="left" w:pos="4263"/>
          <w:tab w:val="left" w:pos="4983"/>
        </w:tabs>
        <w:jc w:val="both"/>
        <w:rPr>
          <w:rFonts w:cs="Arial"/>
          <w:sz w:val="24"/>
          <w:szCs w:val="24"/>
        </w:rPr>
      </w:pPr>
      <w:r>
        <w:rPr>
          <w:rFonts w:cs="Arial"/>
          <w:sz w:val="24"/>
          <w:szCs w:val="24"/>
        </w:rPr>
        <w:t>HEREBY DENIES Defendant’s request_____________________</w:t>
      </w:r>
      <w:r w:rsidR="007471F8" w:rsidRPr="007471F8">
        <w:rPr>
          <w:rFonts w:cs="Arial"/>
          <w:sz w:val="24"/>
          <w:szCs w:val="24"/>
        </w:rPr>
        <w:t xml:space="preserve"> </w:t>
      </w:r>
    </w:p>
    <w:p w:rsidR="007471F8" w:rsidRPr="007471F8" w:rsidRDefault="007471F8" w:rsidP="007471F8">
      <w:pPr>
        <w:tabs>
          <w:tab w:val="left" w:pos="-1497"/>
          <w:tab w:val="left" w:pos="-777"/>
          <w:tab w:val="left" w:pos="624"/>
          <w:tab w:val="left" w:pos="1248"/>
          <w:tab w:val="left" w:pos="4263"/>
          <w:tab w:val="left" w:pos="4983"/>
        </w:tabs>
        <w:jc w:val="both"/>
        <w:rPr>
          <w:rFonts w:cs="Arial"/>
          <w:sz w:val="24"/>
          <w:szCs w:val="24"/>
        </w:rPr>
      </w:pPr>
    </w:p>
    <w:p w:rsidR="007471F8" w:rsidRDefault="007471F8" w:rsidP="007471F8">
      <w:pPr>
        <w:tabs>
          <w:tab w:val="left" w:pos="-1497"/>
          <w:tab w:val="left" w:pos="-777"/>
          <w:tab w:val="left" w:pos="624"/>
          <w:tab w:val="left" w:pos="1248"/>
          <w:tab w:val="left" w:pos="4263"/>
          <w:tab w:val="left" w:pos="4983"/>
        </w:tabs>
        <w:jc w:val="both"/>
        <w:rPr>
          <w:rFonts w:cs="Arial"/>
          <w:sz w:val="24"/>
          <w:szCs w:val="24"/>
        </w:rPr>
      </w:pPr>
    </w:p>
    <w:p w:rsidR="007471F8" w:rsidRDefault="007471F8" w:rsidP="007471F8">
      <w:pPr>
        <w:tabs>
          <w:tab w:val="left" w:pos="-1497"/>
          <w:tab w:val="left" w:pos="-777"/>
          <w:tab w:val="left" w:pos="624"/>
          <w:tab w:val="left" w:pos="1248"/>
          <w:tab w:val="left" w:pos="4263"/>
          <w:tab w:val="left" w:pos="4983"/>
        </w:tabs>
        <w:jc w:val="both"/>
        <w:rPr>
          <w:rFonts w:cs="Arial"/>
          <w:sz w:val="24"/>
          <w:szCs w:val="24"/>
        </w:rPr>
      </w:pPr>
    </w:p>
    <w:p w:rsidR="007471F8" w:rsidRPr="007471F8" w:rsidRDefault="007471F8" w:rsidP="007471F8">
      <w:pPr>
        <w:tabs>
          <w:tab w:val="left" w:pos="-1497"/>
          <w:tab w:val="left" w:pos="-777"/>
          <w:tab w:val="left" w:pos="624"/>
          <w:tab w:val="left" w:pos="1248"/>
          <w:tab w:val="left" w:pos="4263"/>
          <w:tab w:val="left" w:pos="4983"/>
        </w:tabs>
        <w:jc w:val="both"/>
        <w:rPr>
          <w:rFonts w:cs="Arial"/>
          <w:sz w:val="24"/>
          <w:szCs w:val="24"/>
        </w:rPr>
      </w:pPr>
      <w:proofErr w:type="gramStart"/>
      <w:r w:rsidRPr="007471F8">
        <w:rPr>
          <w:rFonts w:cs="Arial"/>
          <w:bCs/>
          <w:sz w:val="24"/>
          <w:szCs w:val="24"/>
        </w:rPr>
        <w:t>DATED</w:t>
      </w:r>
      <w:r w:rsidRPr="007471F8">
        <w:rPr>
          <w:rFonts w:cs="Arial"/>
          <w:sz w:val="24"/>
          <w:szCs w:val="24"/>
        </w:rPr>
        <w:t xml:space="preserve"> this ____ day of ____________, 20</w:t>
      </w:r>
      <w:r w:rsidR="00CB6989">
        <w:rPr>
          <w:rFonts w:cs="Arial"/>
          <w:sz w:val="24"/>
          <w:szCs w:val="24"/>
        </w:rPr>
        <w:t>1</w:t>
      </w:r>
      <w:r w:rsidR="001C39D6">
        <w:rPr>
          <w:rFonts w:cs="Arial"/>
          <w:sz w:val="24"/>
          <w:szCs w:val="24"/>
        </w:rPr>
        <w:t>2</w:t>
      </w:r>
      <w:r w:rsidRPr="007471F8">
        <w:rPr>
          <w:rFonts w:cs="Arial"/>
          <w:sz w:val="24"/>
          <w:szCs w:val="24"/>
        </w:rPr>
        <w:t>.</w:t>
      </w:r>
      <w:proofErr w:type="gramEnd"/>
    </w:p>
    <w:p w:rsidR="007471F8" w:rsidRDefault="007471F8" w:rsidP="007471F8">
      <w:pPr>
        <w:tabs>
          <w:tab w:val="left" w:pos="-1497"/>
          <w:tab w:val="left" w:pos="-777"/>
          <w:tab w:val="left" w:pos="624"/>
          <w:tab w:val="left" w:pos="1248"/>
          <w:tab w:val="left" w:pos="4263"/>
          <w:tab w:val="left" w:pos="4983"/>
        </w:tabs>
        <w:jc w:val="both"/>
        <w:rPr>
          <w:rFonts w:cs="Arial"/>
          <w:sz w:val="24"/>
          <w:szCs w:val="24"/>
        </w:rPr>
      </w:pPr>
    </w:p>
    <w:p w:rsidR="007471F8" w:rsidRDefault="007471F8" w:rsidP="007471F8">
      <w:pPr>
        <w:tabs>
          <w:tab w:val="left" w:pos="-1497"/>
          <w:tab w:val="left" w:pos="-777"/>
          <w:tab w:val="left" w:pos="624"/>
          <w:tab w:val="left" w:pos="1248"/>
          <w:tab w:val="left" w:pos="4263"/>
          <w:tab w:val="left" w:pos="4983"/>
        </w:tabs>
        <w:jc w:val="both"/>
        <w:rPr>
          <w:rFonts w:cs="Arial"/>
          <w:sz w:val="24"/>
          <w:szCs w:val="24"/>
        </w:rPr>
      </w:pPr>
    </w:p>
    <w:p w:rsidR="007471F8" w:rsidRPr="007471F8" w:rsidRDefault="007471F8" w:rsidP="007471F8">
      <w:pPr>
        <w:tabs>
          <w:tab w:val="left" w:pos="-1497"/>
          <w:tab w:val="left" w:pos="-777"/>
          <w:tab w:val="left" w:pos="624"/>
          <w:tab w:val="left" w:pos="1248"/>
          <w:tab w:val="left" w:pos="4263"/>
          <w:tab w:val="left" w:pos="4983"/>
        </w:tabs>
        <w:jc w:val="both"/>
        <w:rPr>
          <w:rFonts w:cs="Arial"/>
          <w:sz w:val="24"/>
          <w:szCs w:val="24"/>
        </w:rPr>
      </w:pPr>
    </w:p>
    <w:p w:rsidR="007471F8" w:rsidRPr="007471F8" w:rsidRDefault="007471F8" w:rsidP="007471F8">
      <w:pPr>
        <w:tabs>
          <w:tab w:val="left" w:pos="-1497"/>
          <w:tab w:val="left" w:pos="-777"/>
          <w:tab w:val="left" w:pos="624"/>
          <w:tab w:val="left" w:pos="1248"/>
          <w:tab w:val="left" w:pos="4263"/>
          <w:tab w:val="left" w:pos="4983"/>
        </w:tabs>
        <w:jc w:val="both"/>
        <w:rPr>
          <w:rFonts w:cs="Arial"/>
          <w:sz w:val="24"/>
          <w:szCs w:val="24"/>
        </w:rPr>
      </w:pPr>
      <w:r>
        <w:rPr>
          <w:rFonts w:cs="Arial"/>
          <w:sz w:val="24"/>
          <w:szCs w:val="24"/>
        </w:rPr>
        <w:tab/>
      </w:r>
      <w:r w:rsidRPr="007471F8">
        <w:rPr>
          <w:rFonts w:cs="Arial"/>
          <w:sz w:val="24"/>
          <w:szCs w:val="24"/>
        </w:rPr>
        <w:tab/>
      </w:r>
      <w:r w:rsidRPr="007471F8">
        <w:rPr>
          <w:rFonts w:cs="Arial"/>
          <w:sz w:val="24"/>
          <w:szCs w:val="24"/>
        </w:rPr>
        <w:tab/>
      </w:r>
      <w:r w:rsidRPr="007471F8">
        <w:rPr>
          <w:rFonts w:cs="Arial"/>
          <w:sz w:val="24"/>
          <w:szCs w:val="24"/>
        </w:rPr>
        <w:tab/>
      </w:r>
      <w:r w:rsidRPr="007471F8">
        <w:rPr>
          <w:rFonts w:cs="Arial"/>
          <w:sz w:val="24"/>
          <w:szCs w:val="24"/>
        </w:rPr>
        <w:tab/>
      </w:r>
      <w:r w:rsidRPr="007471F8">
        <w:rPr>
          <w:rFonts w:cs="Arial"/>
          <w:sz w:val="24"/>
          <w:szCs w:val="24"/>
        </w:rPr>
        <w:tab/>
        <w:t>BY THE COURT:</w:t>
      </w:r>
    </w:p>
    <w:p w:rsidR="007471F8" w:rsidRPr="007471F8" w:rsidRDefault="007471F8" w:rsidP="007471F8">
      <w:pPr>
        <w:tabs>
          <w:tab w:val="left" w:pos="-1497"/>
          <w:tab w:val="left" w:pos="-777"/>
          <w:tab w:val="left" w:pos="624"/>
          <w:tab w:val="left" w:pos="1248"/>
          <w:tab w:val="left" w:pos="4263"/>
          <w:tab w:val="left" w:pos="4983"/>
        </w:tabs>
        <w:jc w:val="both"/>
        <w:rPr>
          <w:rFonts w:cs="Arial"/>
          <w:sz w:val="24"/>
          <w:szCs w:val="24"/>
        </w:rPr>
      </w:pPr>
    </w:p>
    <w:p w:rsidR="007471F8" w:rsidRPr="007471F8" w:rsidRDefault="007471F8" w:rsidP="007471F8">
      <w:pPr>
        <w:tabs>
          <w:tab w:val="left" w:pos="-1497"/>
          <w:tab w:val="left" w:pos="-777"/>
          <w:tab w:val="left" w:pos="624"/>
          <w:tab w:val="left" w:pos="1248"/>
          <w:tab w:val="left" w:pos="4263"/>
          <w:tab w:val="left" w:pos="4983"/>
        </w:tabs>
        <w:jc w:val="both"/>
        <w:rPr>
          <w:rFonts w:cs="Arial"/>
          <w:sz w:val="24"/>
          <w:szCs w:val="24"/>
        </w:rPr>
      </w:pPr>
    </w:p>
    <w:p w:rsidR="007471F8" w:rsidRPr="007471F8" w:rsidRDefault="007471F8" w:rsidP="007471F8">
      <w:pPr>
        <w:tabs>
          <w:tab w:val="left" w:pos="-1497"/>
          <w:tab w:val="left" w:pos="-777"/>
          <w:tab w:val="left" w:pos="624"/>
          <w:tab w:val="left" w:pos="1248"/>
          <w:tab w:val="left" w:pos="4263"/>
          <w:tab w:val="left" w:pos="4983"/>
        </w:tabs>
        <w:jc w:val="both"/>
        <w:rPr>
          <w:rFonts w:cs="Arial"/>
          <w:sz w:val="24"/>
          <w:szCs w:val="24"/>
        </w:rPr>
      </w:pPr>
    </w:p>
    <w:p w:rsidR="007471F8" w:rsidRPr="007471F8" w:rsidRDefault="007471F8" w:rsidP="007471F8">
      <w:pPr>
        <w:tabs>
          <w:tab w:val="left" w:pos="-1497"/>
          <w:tab w:val="left" w:pos="-777"/>
          <w:tab w:val="left" w:pos="624"/>
          <w:tab w:val="left" w:pos="1248"/>
          <w:tab w:val="left" w:pos="4263"/>
          <w:tab w:val="left" w:pos="4983"/>
        </w:tabs>
        <w:jc w:val="both"/>
        <w:rPr>
          <w:rFonts w:cs="Arial"/>
          <w:sz w:val="24"/>
          <w:szCs w:val="24"/>
        </w:rPr>
      </w:pPr>
      <w:r w:rsidRPr="007471F8">
        <w:rPr>
          <w:rFonts w:cs="Arial"/>
          <w:sz w:val="24"/>
          <w:szCs w:val="24"/>
        </w:rPr>
        <w:tab/>
      </w:r>
      <w:r w:rsidRPr="007471F8">
        <w:rPr>
          <w:rFonts w:cs="Arial"/>
          <w:sz w:val="24"/>
          <w:szCs w:val="24"/>
        </w:rPr>
        <w:tab/>
      </w:r>
      <w:r>
        <w:rPr>
          <w:rFonts w:cs="Arial"/>
          <w:sz w:val="24"/>
          <w:szCs w:val="24"/>
        </w:rPr>
        <w:tab/>
      </w:r>
      <w:r w:rsidRPr="007471F8">
        <w:rPr>
          <w:rFonts w:cs="Arial"/>
          <w:sz w:val="24"/>
          <w:szCs w:val="24"/>
        </w:rPr>
        <w:tab/>
      </w:r>
      <w:r w:rsidRPr="007471F8">
        <w:rPr>
          <w:rFonts w:cs="Arial"/>
          <w:sz w:val="24"/>
          <w:szCs w:val="24"/>
        </w:rPr>
        <w:tab/>
      </w:r>
      <w:r w:rsidRPr="007471F8">
        <w:rPr>
          <w:rFonts w:cs="Arial"/>
          <w:sz w:val="24"/>
          <w:szCs w:val="24"/>
        </w:rPr>
        <w:tab/>
        <w:t>____________________________</w:t>
      </w:r>
    </w:p>
    <w:p w:rsidR="007471F8" w:rsidRPr="007471F8" w:rsidRDefault="007471F8" w:rsidP="007471F8">
      <w:pPr>
        <w:tabs>
          <w:tab w:val="left" w:pos="-1497"/>
          <w:tab w:val="left" w:pos="-777"/>
          <w:tab w:val="left" w:pos="624"/>
          <w:tab w:val="left" w:pos="1248"/>
          <w:tab w:val="left" w:pos="4263"/>
          <w:tab w:val="left" w:pos="4983"/>
        </w:tabs>
        <w:jc w:val="both"/>
        <w:rPr>
          <w:rFonts w:cs="Arial"/>
          <w:sz w:val="24"/>
          <w:szCs w:val="24"/>
        </w:rPr>
      </w:pPr>
      <w:r w:rsidRPr="007471F8">
        <w:rPr>
          <w:rFonts w:cs="Arial"/>
          <w:sz w:val="24"/>
          <w:szCs w:val="24"/>
        </w:rPr>
        <w:tab/>
      </w:r>
      <w:r w:rsidRPr="007471F8">
        <w:rPr>
          <w:rFonts w:cs="Arial"/>
          <w:sz w:val="24"/>
          <w:szCs w:val="24"/>
        </w:rPr>
        <w:tab/>
      </w:r>
      <w:r w:rsidRPr="007471F8">
        <w:rPr>
          <w:rFonts w:cs="Arial"/>
          <w:sz w:val="24"/>
          <w:szCs w:val="24"/>
        </w:rPr>
        <w:tab/>
      </w:r>
      <w:r w:rsidRPr="007471F8">
        <w:rPr>
          <w:rFonts w:cs="Arial"/>
          <w:sz w:val="24"/>
          <w:szCs w:val="24"/>
        </w:rPr>
        <w:tab/>
      </w:r>
      <w:r>
        <w:rPr>
          <w:rFonts w:cs="Arial"/>
          <w:sz w:val="24"/>
          <w:szCs w:val="24"/>
        </w:rPr>
        <w:tab/>
      </w:r>
      <w:r>
        <w:rPr>
          <w:rFonts w:cs="Arial"/>
          <w:sz w:val="24"/>
          <w:szCs w:val="24"/>
        </w:rPr>
        <w:tab/>
        <w:t>County Court Judge</w:t>
      </w:r>
      <w:r w:rsidRPr="007471F8">
        <w:rPr>
          <w:rFonts w:cs="Arial"/>
          <w:sz w:val="24"/>
          <w:szCs w:val="24"/>
        </w:rPr>
        <w:t xml:space="preserve"> </w:t>
      </w:r>
    </w:p>
    <w:p w:rsidR="00C537C2" w:rsidRDefault="00C537C2" w:rsidP="004B1319">
      <w:pPr>
        <w:pStyle w:val="BodyText"/>
        <w:rPr>
          <w:rFonts w:ascii="Arial" w:hAnsi="Arial" w:cs="Arial"/>
          <w:b w:val="0"/>
          <w:sz w:val="24"/>
          <w:szCs w:val="24"/>
        </w:rPr>
      </w:pPr>
    </w:p>
    <w:p w:rsidR="0066397B" w:rsidRDefault="0066397B" w:rsidP="004B1319">
      <w:pPr>
        <w:pStyle w:val="BodyText"/>
        <w:rPr>
          <w:rFonts w:ascii="Arial" w:hAnsi="Arial" w:cs="Arial"/>
          <w:b w:val="0"/>
          <w:sz w:val="24"/>
          <w:szCs w:val="24"/>
        </w:rPr>
      </w:pPr>
    </w:p>
    <w:p w:rsidR="0066397B" w:rsidRDefault="0066397B" w:rsidP="004B1319">
      <w:pPr>
        <w:pStyle w:val="BodyText"/>
        <w:rPr>
          <w:rFonts w:ascii="Arial" w:hAnsi="Arial" w:cs="Arial"/>
          <w:b w:val="0"/>
          <w:sz w:val="24"/>
          <w:szCs w:val="24"/>
        </w:rPr>
      </w:pPr>
    </w:p>
    <w:p w:rsidR="0066397B" w:rsidRDefault="0066397B" w:rsidP="004B1319">
      <w:pPr>
        <w:pStyle w:val="BodyText"/>
        <w:rPr>
          <w:rFonts w:ascii="Arial" w:hAnsi="Arial" w:cs="Arial"/>
          <w:b w:val="0"/>
          <w:sz w:val="24"/>
          <w:szCs w:val="24"/>
        </w:rPr>
      </w:pPr>
      <w:r>
        <w:rPr>
          <w:rFonts w:ascii="Arial" w:hAnsi="Arial" w:cs="Arial"/>
          <w:b w:val="0"/>
          <w:sz w:val="24"/>
          <w:szCs w:val="24"/>
        </w:rPr>
        <w:t>Attachment A</w:t>
      </w:r>
    </w:p>
    <w:p w:rsidR="0066397B" w:rsidRDefault="0066397B" w:rsidP="0066397B">
      <w:pPr>
        <w:jc w:val="both"/>
        <w:rPr>
          <w:rFonts w:cs="Arial"/>
          <w:color w:val="000000"/>
          <w:sz w:val="24"/>
          <w:szCs w:val="24"/>
        </w:rPr>
      </w:pPr>
    </w:p>
    <w:p w:rsidR="0066397B" w:rsidRPr="0042177E" w:rsidRDefault="0066397B" w:rsidP="0066397B">
      <w:pPr>
        <w:jc w:val="both"/>
        <w:rPr>
          <w:rFonts w:cs="Arial"/>
          <w:color w:val="000000"/>
          <w:sz w:val="24"/>
          <w:szCs w:val="24"/>
        </w:rPr>
      </w:pPr>
      <w:r w:rsidRPr="0042177E">
        <w:rPr>
          <w:rFonts w:cs="Arial"/>
          <w:color w:val="000000"/>
          <w:sz w:val="24"/>
          <w:szCs w:val="24"/>
        </w:rPr>
        <w:t>Please produce any and all memoranda, records, electronic mail, or other media concerning:</w:t>
      </w:r>
    </w:p>
    <w:p w:rsidR="0066397B" w:rsidRPr="0042177E" w:rsidRDefault="0066397B" w:rsidP="0066397B">
      <w:pPr>
        <w:jc w:val="both"/>
        <w:rPr>
          <w:rFonts w:cs="Arial"/>
          <w:color w:val="000000"/>
          <w:sz w:val="24"/>
          <w:szCs w:val="24"/>
        </w:rPr>
      </w:pPr>
    </w:p>
    <w:p w:rsidR="0066397B" w:rsidRPr="0042177E" w:rsidRDefault="0066397B" w:rsidP="0066397B">
      <w:pPr>
        <w:numPr>
          <w:ilvl w:val="0"/>
          <w:numId w:val="3"/>
        </w:numPr>
        <w:tabs>
          <w:tab w:val="clear" w:pos="720"/>
          <w:tab w:val="clear" w:pos="1440"/>
          <w:tab w:val="clear" w:pos="2160"/>
          <w:tab w:val="clear" w:pos="5040"/>
        </w:tabs>
        <w:ind w:right="1440"/>
        <w:jc w:val="both"/>
        <w:rPr>
          <w:rFonts w:cs="Arial"/>
          <w:sz w:val="24"/>
          <w:szCs w:val="24"/>
        </w:rPr>
      </w:pPr>
      <w:proofErr w:type="gramStart"/>
      <w:r w:rsidRPr="0042177E">
        <w:rPr>
          <w:rFonts w:cs="Arial"/>
          <w:sz w:val="24"/>
          <w:szCs w:val="24"/>
        </w:rPr>
        <w:t>the</w:t>
      </w:r>
      <w:proofErr w:type="gramEnd"/>
      <w:r w:rsidRPr="0042177E">
        <w:rPr>
          <w:rFonts w:cs="Arial"/>
          <w:sz w:val="24"/>
          <w:szCs w:val="24"/>
        </w:rPr>
        <w:t xml:space="preserve"> </w:t>
      </w:r>
      <w:r>
        <w:rPr>
          <w:rFonts w:cs="Arial"/>
          <w:sz w:val="24"/>
          <w:szCs w:val="24"/>
        </w:rPr>
        <w:t>CDPHE Toxicology Laboratory</w:t>
      </w:r>
      <w:r w:rsidRPr="0042177E">
        <w:rPr>
          <w:rFonts w:cs="Arial"/>
          <w:sz w:val="24"/>
          <w:szCs w:val="24"/>
        </w:rPr>
        <w:t xml:space="preserve"> (hereafter, referred to as the </w:t>
      </w:r>
      <w:proofErr w:type="spellStart"/>
      <w:r>
        <w:rPr>
          <w:rFonts w:cs="Arial"/>
          <w:sz w:val="24"/>
          <w:szCs w:val="24"/>
        </w:rPr>
        <w:t>Tox</w:t>
      </w:r>
      <w:proofErr w:type="spellEnd"/>
      <w:r w:rsidRPr="0042177E">
        <w:rPr>
          <w:rFonts w:cs="Arial"/>
          <w:sz w:val="24"/>
          <w:szCs w:val="24"/>
        </w:rPr>
        <w:t xml:space="preserve"> Lab) quality assurance system,</w:t>
      </w:r>
      <w:r>
        <w:rPr>
          <w:rFonts w:cs="Arial"/>
          <w:sz w:val="24"/>
          <w:szCs w:val="24"/>
        </w:rPr>
        <w:t xml:space="preserve"> to include, but not limited to standard operating procedure</w:t>
      </w:r>
      <w:r w:rsidRPr="0042177E">
        <w:rPr>
          <w:rFonts w:cs="Arial"/>
          <w:sz w:val="24"/>
          <w:szCs w:val="24"/>
        </w:rPr>
        <w:t xml:space="preserve"> procedures, manuals, and policy f</w:t>
      </w:r>
      <w:r>
        <w:rPr>
          <w:rFonts w:cs="Arial"/>
          <w:sz w:val="24"/>
          <w:szCs w:val="24"/>
        </w:rPr>
        <w:t>or the quality assurance system for blood alcohol testing.</w:t>
      </w:r>
    </w:p>
    <w:p w:rsidR="0066397B" w:rsidRPr="0042177E" w:rsidRDefault="0066397B" w:rsidP="0066397B">
      <w:pPr>
        <w:ind w:left="360" w:right="1440"/>
        <w:jc w:val="both"/>
        <w:rPr>
          <w:rFonts w:cs="Arial"/>
          <w:sz w:val="24"/>
          <w:szCs w:val="24"/>
        </w:rPr>
      </w:pPr>
    </w:p>
    <w:p w:rsidR="0066397B" w:rsidRPr="0042177E" w:rsidRDefault="0066397B" w:rsidP="0066397B">
      <w:pPr>
        <w:numPr>
          <w:ilvl w:val="0"/>
          <w:numId w:val="3"/>
        </w:numPr>
        <w:tabs>
          <w:tab w:val="clear" w:pos="720"/>
          <w:tab w:val="clear" w:pos="1440"/>
          <w:tab w:val="clear" w:pos="2160"/>
          <w:tab w:val="clear" w:pos="5040"/>
        </w:tabs>
        <w:ind w:right="1440"/>
        <w:jc w:val="both"/>
        <w:rPr>
          <w:rFonts w:cs="Arial"/>
          <w:sz w:val="24"/>
          <w:szCs w:val="24"/>
        </w:rPr>
      </w:pPr>
      <w:proofErr w:type="gramStart"/>
      <w:r w:rsidRPr="0042177E">
        <w:rPr>
          <w:rFonts w:cs="Arial"/>
          <w:sz w:val="24"/>
          <w:szCs w:val="24"/>
        </w:rPr>
        <w:t>the</w:t>
      </w:r>
      <w:proofErr w:type="gramEnd"/>
      <w:r w:rsidRPr="0042177E">
        <w:rPr>
          <w:rFonts w:cs="Arial"/>
          <w:sz w:val="24"/>
          <w:szCs w:val="24"/>
        </w:rPr>
        <w:t xml:space="preserve"> </w:t>
      </w:r>
      <w:proofErr w:type="spellStart"/>
      <w:r>
        <w:rPr>
          <w:rFonts w:cs="Arial"/>
          <w:sz w:val="24"/>
          <w:szCs w:val="24"/>
        </w:rPr>
        <w:t>Tox</w:t>
      </w:r>
      <w:proofErr w:type="spellEnd"/>
      <w:r w:rsidRPr="0042177E">
        <w:rPr>
          <w:rFonts w:cs="Arial"/>
          <w:sz w:val="24"/>
          <w:szCs w:val="24"/>
        </w:rPr>
        <w:t xml:space="preserve"> Lab’s internal investigations or quality assurance system reviews in 20</w:t>
      </w:r>
      <w:r>
        <w:rPr>
          <w:rFonts w:cs="Arial"/>
          <w:sz w:val="24"/>
          <w:szCs w:val="24"/>
        </w:rPr>
        <w:t>10</w:t>
      </w:r>
      <w:r w:rsidRPr="0042177E">
        <w:rPr>
          <w:rFonts w:cs="Arial"/>
          <w:sz w:val="24"/>
          <w:szCs w:val="24"/>
        </w:rPr>
        <w:t>,</w:t>
      </w:r>
      <w:r>
        <w:rPr>
          <w:rFonts w:cs="Arial"/>
          <w:sz w:val="24"/>
          <w:szCs w:val="24"/>
        </w:rPr>
        <w:t xml:space="preserve"> 2011,</w:t>
      </w:r>
      <w:r w:rsidR="007C322B">
        <w:rPr>
          <w:rFonts w:cs="Arial"/>
          <w:sz w:val="24"/>
          <w:szCs w:val="24"/>
        </w:rPr>
        <w:t xml:space="preserve"> and</w:t>
      </w:r>
      <w:r>
        <w:rPr>
          <w:rFonts w:cs="Arial"/>
          <w:sz w:val="24"/>
          <w:szCs w:val="24"/>
        </w:rPr>
        <w:t xml:space="preserve"> 2012</w:t>
      </w:r>
      <w:r w:rsidRPr="0042177E">
        <w:rPr>
          <w:rFonts w:cs="Arial"/>
          <w:sz w:val="24"/>
          <w:szCs w:val="24"/>
        </w:rPr>
        <w:t xml:space="preserve"> including, but not limited to, reports of inaccurate blood</w:t>
      </w:r>
      <w:r>
        <w:rPr>
          <w:rFonts w:cs="Arial"/>
          <w:sz w:val="24"/>
          <w:szCs w:val="24"/>
        </w:rPr>
        <w:t xml:space="preserve"> alcohol</w:t>
      </w:r>
      <w:r w:rsidRPr="0042177E">
        <w:rPr>
          <w:rFonts w:cs="Arial"/>
          <w:sz w:val="24"/>
          <w:szCs w:val="24"/>
        </w:rPr>
        <w:t xml:space="preserve"> test results to include inter-office and intra-office communications.</w:t>
      </w:r>
    </w:p>
    <w:p w:rsidR="0066397B" w:rsidRPr="0042177E" w:rsidRDefault="0066397B" w:rsidP="0066397B">
      <w:pPr>
        <w:ind w:left="360" w:right="1440"/>
        <w:jc w:val="both"/>
        <w:rPr>
          <w:rFonts w:cs="Arial"/>
          <w:sz w:val="24"/>
          <w:szCs w:val="24"/>
        </w:rPr>
      </w:pPr>
    </w:p>
    <w:p w:rsidR="0066397B" w:rsidRPr="0042177E" w:rsidRDefault="0066397B" w:rsidP="0066397B">
      <w:pPr>
        <w:numPr>
          <w:ilvl w:val="0"/>
          <w:numId w:val="3"/>
        </w:numPr>
        <w:tabs>
          <w:tab w:val="clear" w:pos="720"/>
          <w:tab w:val="clear" w:pos="1440"/>
          <w:tab w:val="clear" w:pos="2160"/>
          <w:tab w:val="clear" w:pos="5040"/>
        </w:tabs>
        <w:ind w:right="1440"/>
        <w:jc w:val="both"/>
        <w:rPr>
          <w:rFonts w:cs="Arial"/>
          <w:sz w:val="24"/>
          <w:szCs w:val="24"/>
        </w:rPr>
      </w:pPr>
      <w:r w:rsidRPr="0042177E">
        <w:rPr>
          <w:rFonts w:cs="Arial"/>
          <w:sz w:val="24"/>
          <w:szCs w:val="24"/>
        </w:rPr>
        <w:t xml:space="preserve">communication between the </w:t>
      </w:r>
      <w:proofErr w:type="spellStart"/>
      <w:r>
        <w:rPr>
          <w:rFonts w:cs="Arial"/>
          <w:sz w:val="24"/>
          <w:szCs w:val="24"/>
        </w:rPr>
        <w:t>Tox</w:t>
      </w:r>
      <w:proofErr w:type="spellEnd"/>
      <w:r w:rsidRPr="0042177E">
        <w:rPr>
          <w:rFonts w:cs="Arial"/>
          <w:sz w:val="24"/>
          <w:szCs w:val="24"/>
        </w:rPr>
        <w:t xml:space="preserve"> Lab and the </w:t>
      </w:r>
      <w:r>
        <w:rPr>
          <w:rFonts w:cs="Arial"/>
          <w:sz w:val="24"/>
          <w:szCs w:val="24"/>
        </w:rPr>
        <w:t xml:space="preserve">Laboratory </w:t>
      </w:r>
      <w:r w:rsidRPr="0042177E">
        <w:rPr>
          <w:rFonts w:cs="Arial"/>
          <w:sz w:val="24"/>
          <w:szCs w:val="24"/>
        </w:rPr>
        <w:t xml:space="preserve"> </w:t>
      </w:r>
      <w:r>
        <w:rPr>
          <w:rFonts w:cs="Arial"/>
          <w:sz w:val="24"/>
          <w:szCs w:val="24"/>
        </w:rPr>
        <w:t>Services Division or any other accrediting agency</w:t>
      </w:r>
      <w:r w:rsidRPr="0042177E">
        <w:rPr>
          <w:rFonts w:cs="Arial"/>
          <w:sz w:val="24"/>
          <w:szCs w:val="24"/>
        </w:rPr>
        <w:t xml:space="preserve"> concerning the quality</w:t>
      </w:r>
      <w:r w:rsidR="00AE6E28">
        <w:rPr>
          <w:rFonts w:cs="Arial"/>
          <w:sz w:val="24"/>
          <w:szCs w:val="24"/>
        </w:rPr>
        <w:t xml:space="preserve"> assurance system since 2010 to present to include but not limited to any communications concerning laboratory errors or inaccurate blood alcohol results</w:t>
      </w:r>
    </w:p>
    <w:p w:rsidR="0066397B" w:rsidRPr="0042177E" w:rsidRDefault="0066397B" w:rsidP="0066397B">
      <w:pPr>
        <w:ind w:left="360" w:right="1440"/>
        <w:jc w:val="both"/>
        <w:rPr>
          <w:rFonts w:cs="Arial"/>
          <w:sz w:val="24"/>
          <w:szCs w:val="24"/>
        </w:rPr>
      </w:pPr>
    </w:p>
    <w:p w:rsidR="0066397B" w:rsidRPr="0042177E" w:rsidRDefault="0066397B" w:rsidP="0066397B">
      <w:pPr>
        <w:ind w:left="360" w:right="1440"/>
        <w:jc w:val="both"/>
        <w:rPr>
          <w:rFonts w:cs="Arial"/>
          <w:sz w:val="24"/>
          <w:szCs w:val="24"/>
        </w:rPr>
      </w:pPr>
    </w:p>
    <w:p w:rsidR="0066397B" w:rsidRPr="0042177E" w:rsidRDefault="0066397B" w:rsidP="0066397B">
      <w:pPr>
        <w:numPr>
          <w:ilvl w:val="0"/>
          <w:numId w:val="3"/>
        </w:numPr>
        <w:tabs>
          <w:tab w:val="clear" w:pos="720"/>
          <w:tab w:val="clear" w:pos="1440"/>
          <w:tab w:val="clear" w:pos="2160"/>
          <w:tab w:val="clear" w:pos="5040"/>
        </w:tabs>
        <w:ind w:right="1440"/>
        <w:jc w:val="both"/>
        <w:rPr>
          <w:rFonts w:cs="Arial"/>
          <w:sz w:val="24"/>
          <w:szCs w:val="24"/>
        </w:rPr>
      </w:pPr>
      <w:proofErr w:type="gramStart"/>
      <w:r w:rsidRPr="0042177E">
        <w:rPr>
          <w:rFonts w:cs="Arial"/>
          <w:sz w:val="24"/>
          <w:szCs w:val="24"/>
        </w:rPr>
        <w:t>communications</w:t>
      </w:r>
      <w:proofErr w:type="gramEnd"/>
      <w:r w:rsidRPr="0042177E">
        <w:rPr>
          <w:rFonts w:cs="Arial"/>
          <w:sz w:val="24"/>
          <w:szCs w:val="24"/>
        </w:rPr>
        <w:t xml:space="preserve"> between the </w:t>
      </w:r>
      <w:proofErr w:type="spellStart"/>
      <w:r w:rsidR="00AE6E28">
        <w:rPr>
          <w:rFonts w:cs="Arial"/>
          <w:sz w:val="24"/>
          <w:szCs w:val="24"/>
        </w:rPr>
        <w:t>Tox</w:t>
      </w:r>
      <w:proofErr w:type="spellEnd"/>
      <w:r w:rsidR="00AE6E28">
        <w:rPr>
          <w:rFonts w:cs="Arial"/>
          <w:sz w:val="24"/>
          <w:szCs w:val="24"/>
        </w:rPr>
        <w:t xml:space="preserve"> Lab and any other agencies</w:t>
      </w:r>
      <w:r w:rsidRPr="0042177E">
        <w:rPr>
          <w:rFonts w:cs="Arial"/>
          <w:sz w:val="24"/>
          <w:szCs w:val="24"/>
        </w:rPr>
        <w:t xml:space="preserve"> concerning an external and independent investigation into the possible causes of inaccurate readings relating to the </w:t>
      </w:r>
      <w:proofErr w:type="spellStart"/>
      <w:r>
        <w:rPr>
          <w:rFonts w:cs="Arial"/>
          <w:sz w:val="24"/>
          <w:szCs w:val="24"/>
        </w:rPr>
        <w:t>Tox</w:t>
      </w:r>
      <w:proofErr w:type="spellEnd"/>
      <w:r w:rsidRPr="0042177E">
        <w:rPr>
          <w:rFonts w:cs="Arial"/>
          <w:sz w:val="24"/>
          <w:szCs w:val="24"/>
        </w:rPr>
        <w:t xml:space="preserve"> Lab.</w:t>
      </w:r>
    </w:p>
    <w:p w:rsidR="0066397B" w:rsidRPr="0042177E" w:rsidRDefault="0066397B" w:rsidP="0066397B">
      <w:pPr>
        <w:ind w:left="360" w:right="1440"/>
        <w:jc w:val="both"/>
        <w:rPr>
          <w:rFonts w:cs="Arial"/>
          <w:sz w:val="24"/>
          <w:szCs w:val="24"/>
        </w:rPr>
      </w:pPr>
    </w:p>
    <w:p w:rsidR="0066397B" w:rsidRPr="0042177E" w:rsidRDefault="0066397B" w:rsidP="0066397B">
      <w:pPr>
        <w:numPr>
          <w:ilvl w:val="0"/>
          <w:numId w:val="3"/>
        </w:numPr>
        <w:tabs>
          <w:tab w:val="clear" w:pos="720"/>
          <w:tab w:val="clear" w:pos="1440"/>
          <w:tab w:val="clear" w:pos="2160"/>
          <w:tab w:val="clear" w:pos="5040"/>
        </w:tabs>
        <w:ind w:right="1440"/>
        <w:jc w:val="both"/>
        <w:rPr>
          <w:rFonts w:cs="Arial"/>
          <w:sz w:val="24"/>
          <w:szCs w:val="24"/>
        </w:rPr>
      </w:pPr>
      <w:proofErr w:type="gramStart"/>
      <w:r w:rsidRPr="0042177E">
        <w:rPr>
          <w:rFonts w:cs="Arial"/>
          <w:sz w:val="24"/>
          <w:szCs w:val="24"/>
        </w:rPr>
        <w:t>an</w:t>
      </w:r>
      <w:proofErr w:type="gramEnd"/>
      <w:r w:rsidRPr="0042177E">
        <w:rPr>
          <w:rFonts w:cs="Arial"/>
          <w:sz w:val="24"/>
          <w:szCs w:val="24"/>
        </w:rPr>
        <w:t xml:space="preserve"> Internal Affairs investigation concerning the inaccurate readings at the </w:t>
      </w:r>
      <w:proofErr w:type="spellStart"/>
      <w:r>
        <w:rPr>
          <w:rFonts w:cs="Arial"/>
          <w:sz w:val="24"/>
          <w:szCs w:val="24"/>
        </w:rPr>
        <w:t>Tox</w:t>
      </w:r>
      <w:proofErr w:type="spellEnd"/>
      <w:r w:rsidRPr="0042177E">
        <w:rPr>
          <w:rFonts w:cs="Arial"/>
          <w:sz w:val="24"/>
          <w:szCs w:val="24"/>
        </w:rPr>
        <w:t xml:space="preserve"> Lab.</w:t>
      </w:r>
    </w:p>
    <w:p w:rsidR="0066397B" w:rsidRPr="0042177E" w:rsidRDefault="0066397B" w:rsidP="0066397B">
      <w:pPr>
        <w:ind w:left="360" w:right="1440"/>
        <w:jc w:val="both"/>
        <w:rPr>
          <w:rFonts w:cs="Arial"/>
          <w:sz w:val="24"/>
          <w:szCs w:val="24"/>
        </w:rPr>
      </w:pPr>
    </w:p>
    <w:p w:rsidR="0066397B" w:rsidRPr="0042177E" w:rsidRDefault="0066397B" w:rsidP="0066397B">
      <w:pPr>
        <w:numPr>
          <w:ilvl w:val="0"/>
          <w:numId w:val="3"/>
        </w:numPr>
        <w:tabs>
          <w:tab w:val="clear" w:pos="720"/>
          <w:tab w:val="clear" w:pos="1440"/>
          <w:tab w:val="clear" w:pos="2160"/>
          <w:tab w:val="clear" w:pos="5040"/>
        </w:tabs>
        <w:ind w:right="1440"/>
        <w:jc w:val="both"/>
        <w:rPr>
          <w:rFonts w:cs="Arial"/>
          <w:sz w:val="24"/>
          <w:szCs w:val="24"/>
        </w:rPr>
      </w:pPr>
      <w:proofErr w:type="gramStart"/>
      <w:r w:rsidRPr="0042177E">
        <w:rPr>
          <w:rFonts w:cs="Arial"/>
          <w:sz w:val="24"/>
          <w:szCs w:val="24"/>
        </w:rPr>
        <w:t>inaccurate</w:t>
      </w:r>
      <w:proofErr w:type="gramEnd"/>
      <w:r w:rsidRPr="0042177E">
        <w:rPr>
          <w:rFonts w:cs="Arial"/>
          <w:sz w:val="24"/>
          <w:szCs w:val="24"/>
        </w:rPr>
        <w:t xml:space="preserve"> blood alcohol tests at the </w:t>
      </w:r>
      <w:proofErr w:type="spellStart"/>
      <w:r>
        <w:rPr>
          <w:rFonts w:cs="Arial"/>
          <w:sz w:val="24"/>
          <w:szCs w:val="24"/>
        </w:rPr>
        <w:t>Tox</w:t>
      </w:r>
      <w:proofErr w:type="spellEnd"/>
      <w:r>
        <w:rPr>
          <w:rFonts w:cs="Arial"/>
          <w:sz w:val="24"/>
          <w:szCs w:val="24"/>
        </w:rPr>
        <w:t xml:space="preserve"> Lab in 2010, 2011, 2012</w:t>
      </w:r>
      <w:r w:rsidRPr="0042177E">
        <w:rPr>
          <w:rFonts w:cs="Arial"/>
          <w:sz w:val="24"/>
          <w:szCs w:val="24"/>
        </w:rPr>
        <w:t xml:space="preserve"> including, but not limited to, the inaccurate tests that have been identified, to include forensic reports </w:t>
      </w:r>
      <w:r>
        <w:rPr>
          <w:rFonts w:cs="Arial"/>
          <w:sz w:val="24"/>
          <w:szCs w:val="24"/>
        </w:rPr>
        <w:t xml:space="preserve">and litigation packets </w:t>
      </w:r>
      <w:r w:rsidRPr="0042177E">
        <w:rPr>
          <w:rFonts w:cs="Arial"/>
          <w:sz w:val="24"/>
          <w:szCs w:val="24"/>
        </w:rPr>
        <w:t>from each inaccurate blood test result.</w:t>
      </w:r>
    </w:p>
    <w:p w:rsidR="0066397B" w:rsidRPr="0042177E" w:rsidRDefault="0066397B" w:rsidP="0066397B">
      <w:pPr>
        <w:ind w:left="360" w:right="1440"/>
        <w:jc w:val="both"/>
        <w:rPr>
          <w:rFonts w:cs="Arial"/>
          <w:sz w:val="24"/>
          <w:szCs w:val="24"/>
        </w:rPr>
      </w:pPr>
    </w:p>
    <w:p w:rsidR="0066397B" w:rsidRPr="0042177E" w:rsidRDefault="0066397B" w:rsidP="0066397B">
      <w:pPr>
        <w:numPr>
          <w:ilvl w:val="0"/>
          <w:numId w:val="3"/>
        </w:numPr>
        <w:tabs>
          <w:tab w:val="clear" w:pos="720"/>
          <w:tab w:val="clear" w:pos="1440"/>
          <w:tab w:val="clear" w:pos="2160"/>
          <w:tab w:val="clear" w:pos="5040"/>
        </w:tabs>
        <w:ind w:right="1440"/>
        <w:jc w:val="both"/>
        <w:rPr>
          <w:rFonts w:cs="Arial"/>
          <w:sz w:val="24"/>
          <w:szCs w:val="24"/>
        </w:rPr>
      </w:pPr>
      <w:proofErr w:type="gramStart"/>
      <w:r w:rsidRPr="0042177E">
        <w:rPr>
          <w:rFonts w:cs="Arial"/>
          <w:sz w:val="24"/>
          <w:szCs w:val="24"/>
        </w:rPr>
        <w:t>communications</w:t>
      </w:r>
      <w:proofErr w:type="gramEnd"/>
      <w:r w:rsidRPr="0042177E">
        <w:rPr>
          <w:rFonts w:cs="Arial"/>
          <w:sz w:val="24"/>
          <w:szCs w:val="24"/>
        </w:rPr>
        <w:t xml:space="preserve"> between the </w:t>
      </w:r>
      <w:proofErr w:type="spellStart"/>
      <w:r w:rsidR="003B3CD2">
        <w:rPr>
          <w:rFonts w:cs="Arial"/>
          <w:sz w:val="24"/>
          <w:szCs w:val="24"/>
        </w:rPr>
        <w:t>Tox</w:t>
      </w:r>
      <w:proofErr w:type="spellEnd"/>
      <w:r w:rsidR="003B3CD2">
        <w:rPr>
          <w:rFonts w:cs="Arial"/>
          <w:sz w:val="24"/>
          <w:szCs w:val="24"/>
        </w:rPr>
        <w:t xml:space="preserve"> Lab</w:t>
      </w:r>
      <w:r w:rsidRPr="0042177E">
        <w:rPr>
          <w:rFonts w:cs="Arial"/>
          <w:sz w:val="24"/>
          <w:szCs w:val="24"/>
        </w:rPr>
        <w:t xml:space="preserve"> and the </w:t>
      </w:r>
      <w:r w:rsidR="003B3CD2">
        <w:rPr>
          <w:rFonts w:cs="Arial"/>
          <w:sz w:val="24"/>
          <w:szCs w:val="24"/>
        </w:rPr>
        <w:t>any</w:t>
      </w:r>
      <w:r w:rsidRPr="0042177E">
        <w:rPr>
          <w:rFonts w:cs="Arial"/>
          <w:sz w:val="24"/>
          <w:szCs w:val="24"/>
        </w:rPr>
        <w:t xml:space="preserve"> District Attorney’s Office </w:t>
      </w:r>
      <w:r w:rsidR="00AE6E28">
        <w:rPr>
          <w:rFonts w:cs="Arial"/>
          <w:sz w:val="24"/>
          <w:szCs w:val="24"/>
        </w:rPr>
        <w:t xml:space="preserve">or any other agencies </w:t>
      </w:r>
      <w:r w:rsidRPr="0042177E">
        <w:rPr>
          <w:rFonts w:cs="Arial"/>
          <w:sz w:val="24"/>
          <w:szCs w:val="24"/>
        </w:rPr>
        <w:t>concerning inaccurate blood</w:t>
      </w:r>
      <w:r w:rsidR="00AE6E28">
        <w:rPr>
          <w:rFonts w:cs="Arial"/>
          <w:sz w:val="24"/>
          <w:szCs w:val="24"/>
        </w:rPr>
        <w:t xml:space="preserve"> alcohol</w:t>
      </w:r>
      <w:r w:rsidRPr="0042177E">
        <w:rPr>
          <w:rFonts w:cs="Arial"/>
          <w:sz w:val="24"/>
          <w:szCs w:val="24"/>
        </w:rPr>
        <w:t xml:space="preserve"> results at the </w:t>
      </w:r>
      <w:proofErr w:type="spellStart"/>
      <w:r w:rsidR="003B3CD2">
        <w:rPr>
          <w:rFonts w:cs="Arial"/>
          <w:sz w:val="24"/>
          <w:szCs w:val="24"/>
        </w:rPr>
        <w:t>Tox</w:t>
      </w:r>
      <w:proofErr w:type="spellEnd"/>
      <w:r w:rsidRPr="0042177E">
        <w:rPr>
          <w:rFonts w:cs="Arial"/>
          <w:sz w:val="24"/>
          <w:szCs w:val="24"/>
        </w:rPr>
        <w:t xml:space="preserve"> Lab.</w:t>
      </w:r>
    </w:p>
    <w:p w:rsidR="0066397B" w:rsidRPr="0042177E" w:rsidRDefault="0066397B" w:rsidP="0066397B">
      <w:pPr>
        <w:ind w:left="360" w:right="1440"/>
        <w:jc w:val="both"/>
        <w:rPr>
          <w:rFonts w:cs="Arial"/>
          <w:sz w:val="24"/>
          <w:szCs w:val="24"/>
        </w:rPr>
      </w:pPr>
    </w:p>
    <w:p w:rsidR="0066397B" w:rsidRPr="0042177E" w:rsidRDefault="0066397B" w:rsidP="0066397B">
      <w:pPr>
        <w:numPr>
          <w:ilvl w:val="0"/>
          <w:numId w:val="3"/>
        </w:numPr>
        <w:tabs>
          <w:tab w:val="clear" w:pos="720"/>
          <w:tab w:val="clear" w:pos="1440"/>
          <w:tab w:val="clear" w:pos="2160"/>
          <w:tab w:val="clear" w:pos="5040"/>
        </w:tabs>
        <w:ind w:right="1440"/>
        <w:jc w:val="both"/>
        <w:rPr>
          <w:rFonts w:cs="Arial"/>
          <w:sz w:val="24"/>
          <w:szCs w:val="24"/>
        </w:rPr>
      </w:pPr>
      <w:r w:rsidRPr="0042177E">
        <w:rPr>
          <w:rFonts w:cs="Arial"/>
          <w:sz w:val="24"/>
          <w:szCs w:val="24"/>
        </w:rPr>
        <w:t>communications for the years 20</w:t>
      </w:r>
      <w:r w:rsidR="003B3CD2">
        <w:rPr>
          <w:rFonts w:cs="Arial"/>
          <w:sz w:val="24"/>
          <w:szCs w:val="24"/>
        </w:rPr>
        <w:t>10, 2011, and 2012</w:t>
      </w:r>
      <w:r w:rsidRPr="0042177E">
        <w:rPr>
          <w:rFonts w:cs="Arial"/>
          <w:sz w:val="24"/>
          <w:szCs w:val="24"/>
        </w:rPr>
        <w:t xml:space="preserve"> between the </w:t>
      </w:r>
      <w:proofErr w:type="spellStart"/>
      <w:r w:rsidR="003B3CD2">
        <w:rPr>
          <w:rFonts w:cs="Arial"/>
          <w:sz w:val="24"/>
          <w:szCs w:val="24"/>
        </w:rPr>
        <w:t>Tox</w:t>
      </w:r>
      <w:proofErr w:type="spellEnd"/>
      <w:r w:rsidR="003B3CD2">
        <w:rPr>
          <w:rFonts w:cs="Arial"/>
          <w:sz w:val="24"/>
          <w:szCs w:val="24"/>
        </w:rPr>
        <w:t xml:space="preserve"> Lab</w:t>
      </w:r>
      <w:r w:rsidRPr="0042177E">
        <w:rPr>
          <w:rFonts w:cs="Arial"/>
          <w:sz w:val="24"/>
          <w:szCs w:val="24"/>
        </w:rPr>
        <w:t xml:space="preserve"> and the distributor and/or </w:t>
      </w:r>
      <w:r w:rsidRPr="0042177E">
        <w:rPr>
          <w:rFonts w:cs="Arial"/>
          <w:sz w:val="24"/>
          <w:szCs w:val="24"/>
        </w:rPr>
        <w:lastRenderedPageBreak/>
        <w:t xml:space="preserve">manufacturer of blood testing equipment including, but not limited to, Agilent Technologies. </w:t>
      </w:r>
    </w:p>
    <w:p w:rsidR="0066397B" w:rsidRPr="0042177E" w:rsidRDefault="0066397B" w:rsidP="00AE6E28">
      <w:pPr>
        <w:ind w:right="1440"/>
        <w:jc w:val="both"/>
        <w:rPr>
          <w:rFonts w:cs="Arial"/>
          <w:sz w:val="24"/>
          <w:szCs w:val="24"/>
        </w:rPr>
      </w:pPr>
    </w:p>
    <w:p w:rsidR="0066397B" w:rsidRPr="0042177E" w:rsidRDefault="0066397B" w:rsidP="0066397B">
      <w:pPr>
        <w:numPr>
          <w:ilvl w:val="0"/>
          <w:numId w:val="3"/>
        </w:numPr>
        <w:tabs>
          <w:tab w:val="clear" w:pos="720"/>
          <w:tab w:val="clear" w:pos="1440"/>
          <w:tab w:val="clear" w:pos="2160"/>
          <w:tab w:val="clear" w:pos="5040"/>
        </w:tabs>
        <w:ind w:right="1440"/>
        <w:jc w:val="both"/>
        <w:rPr>
          <w:rFonts w:cs="Arial"/>
          <w:sz w:val="24"/>
          <w:szCs w:val="24"/>
        </w:rPr>
      </w:pPr>
      <w:proofErr w:type="gramStart"/>
      <w:r w:rsidRPr="0042177E">
        <w:rPr>
          <w:rFonts w:cs="Arial"/>
          <w:sz w:val="24"/>
          <w:szCs w:val="24"/>
        </w:rPr>
        <w:t>any</w:t>
      </w:r>
      <w:proofErr w:type="gramEnd"/>
      <w:r w:rsidRPr="0042177E">
        <w:rPr>
          <w:rFonts w:cs="Arial"/>
          <w:sz w:val="24"/>
          <w:szCs w:val="24"/>
        </w:rPr>
        <w:t xml:space="preserve"> lapses in the </w:t>
      </w:r>
      <w:proofErr w:type="spellStart"/>
      <w:r w:rsidR="003B3CD2">
        <w:rPr>
          <w:rFonts w:cs="Arial"/>
          <w:sz w:val="24"/>
          <w:szCs w:val="24"/>
        </w:rPr>
        <w:t>Tox</w:t>
      </w:r>
      <w:proofErr w:type="spellEnd"/>
      <w:r w:rsidRPr="0042177E">
        <w:rPr>
          <w:rFonts w:cs="Arial"/>
          <w:sz w:val="24"/>
          <w:szCs w:val="24"/>
        </w:rPr>
        <w:t xml:space="preserve"> Lab’s ce</w:t>
      </w:r>
      <w:r w:rsidR="003B3CD2">
        <w:rPr>
          <w:rFonts w:cs="Arial"/>
          <w:sz w:val="24"/>
          <w:szCs w:val="24"/>
        </w:rPr>
        <w:t xml:space="preserve">rtification </w:t>
      </w:r>
      <w:r w:rsidR="00AE6E28">
        <w:rPr>
          <w:rFonts w:cs="Arial"/>
          <w:sz w:val="24"/>
          <w:szCs w:val="24"/>
        </w:rPr>
        <w:t>or</w:t>
      </w:r>
      <w:r w:rsidR="003B3CD2">
        <w:rPr>
          <w:rFonts w:cs="Arial"/>
          <w:sz w:val="24"/>
          <w:szCs w:val="24"/>
        </w:rPr>
        <w:t xml:space="preserve"> applications for certification to any accrediting agency for 2010, 2011, and 2012.</w:t>
      </w:r>
    </w:p>
    <w:p w:rsidR="0066397B" w:rsidRPr="0042177E" w:rsidRDefault="0066397B" w:rsidP="0066397B">
      <w:pPr>
        <w:ind w:left="360" w:right="1440"/>
        <w:jc w:val="both"/>
        <w:rPr>
          <w:rFonts w:cs="Arial"/>
          <w:sz w:val="24"/>
          <w:szCs w:val="24"/>
        </w:rPr>
      </w:pPr>
    </w:p>
    <w:p w:rsidR="0066397B" w:rsidRPr="0042177E" w:rsidRDefault="0066397B" w:rsidP="0066397B">
      <w:pPr>
        <w:numPr>
          <w:ilvl w:val="0"/>
          <w:numId w:val="3"/>
        </w:numPr>
        <w:tabs>
          <w:tab w:val="clear" w:pos="720"/>
          <w:tab w:val="clear" w:pos="1440"/>
          <w:tab w:val="clear" w:pos="2160"/>
          <w:tab w:val="clear" w:pos="5040"/>
        </w:tabs>
        <w:ind w:right="1440"/>
        <w:jc w:val="both"/>
        <w:rPr>
          <w:rFonts w:cs="Arial"/>
          <w:sz w:val="24"/>
          <w:szCs w:val="24"/>
        </w:rPr>
      </w:pPr>
      <w:proofErr w:type="gramStart"/>
      <w:r w:rsidRPr="0042177E">
        <w:rPr>
          <w:rFonts w:cs="Arial"/>
          <w:sz w:val="24"/>
          <w:szCs w:val="24"/>
        </w:rPr>
        <w:t>inaccuracies</w:t>
      </w:r>
      <w:proofErr w:type="gramEnd"/>
      <w:r w:rsidRPr="0042177E">
        <w:rPr>
          <w:rFonts w:cs="Arial"/>
          <w:sz w:val="24"/>
          <w:szCs w:val="24"/>
        </w:rPr>
        <w:t>, misreporting, and errors in analysis of blood alcohol tests in 20</w:t>
      </w:r>
      <w:r w:rsidR="003B3CD2">
        <w:rPr>
          <w:rFonts w:cs="Arial"/>
          <w:sz w:val="24"/>
          <w:szCs w:val="24"/>
        </w:rPr>
        <w:t>10, 2011 and 2012</w:t>
      </w:r>
      <w:r w:rsidRPr="0042177E">
        <w:rPr>
          <w:rFonts w:cs="Arial"/>
          <w:sz w:val="24"/>
          <w:szCs w:val="24"/>
        </w:rPr>
        <w:t>.</w:t>
      </w:r>
    </w:p>
    <w:p w:rsidR="0066397B" w:rsidRPr="0042177E" w:rsidRDefault="0066397B" w:rsidP="0066397B">
      <w:pPr>
        <w:ind w:left="360" w:right="1440"/>
        <w:jc w:val="both"/>
        <w:rPr>
          <w:rFonts w:cs="Arial"/>
          <w:sz w:val="24"/>
          <w:szCs w:val="24"/>
        </w:rPr>
      </w:pPr>
      <w:r w:rsidRPr="0042177E">
        <w:rPr>
          <w:rFonts w:cs="Arial"/>
          <w:sz w:val="24"/>
          <w:szCs w:val="24"/>
        </w:rPr>
        <w:t xml:space="preserve"> </w:t>
      </w:r>
    </w:p>
    <w:p w:rsidR="0066397B" w:rsidRPr="0042177E" w:rsidRDefault="0066397B" w:rsidP="0066397B">
      <w:pPr>
        <w:numPr>
          <w:ilvl w:val="0"/>
          <w:numId w:val="3"/>
        </w:numPr>
        <w:tabs>
          <w:tab w:val="clear" w:pos="720"/>
          <w:tab w:val="clear" w:pos="1440"/>
          <w:tab w:val="clear" w:pos="2160"/>
          <w:tab w:val="clear" w:pos="5040"/>
        </w:tabs>
        <w:ind w:right="1440"/>
        <w:jc w:val="both"/>
        <w:rPr>
          <w:rFonts w:cs="Arial"/>
          <w:sz w:val="24"/>
          <w:szCs w:val="24"/>
        </w:rPr>
      </w:pPr>
      <w:r w:rsidRPr="0042177E">
        <w:rPr>
          <w:rFonts w:cs="Arial"/>
          <w:sz w:val="24"/>
          <w:szCs w:val="24"/>
        </w:rPr>
        <w:t xml:space="preserve">information regarding any laboratory testing for inaccurate blood tests at the </w:t>
      </w:r>
      <w:proofErr w:type="spellStart"/>
      <w:r w:rsidR="003B3CD2">
        <w:rPr>
          <w:rFonts w:cs="Arial"/>
          <w:sz w:val="24"/>
          <w:szCs w:val="24"/>
        </w:rPr>
        <w:t>Tox</w:t>
      </w:r>
      <w:proofErr w:type="spellEnd"/>
      <w:r w:rsidR="00792F25">
        <w:rPr>
          <w:rFonts w:cs="Arial"/>
          <w:sz w:val="24"/>
          <w:szCs w:val="24"/>
        </w:rPr>
        <w:t xml:space="preserve"> Lab including, but not</w:t>
      </w:r>
      <w:r w:rsidRPr="0042177E">
        <w:rPr>
          <w:rFonts w:cs="Arial"/>
          <w:sz w:val="24"/>
          <w:szCs w:val="24"/>
        </w:rPr>
        <w:t xml:space="preserve"> limited to:  </w:t>
      </w:r>
    </w:p>
    <w:p w:rsidR="0066397B" w:rsidRPr="0042177E" w:rsidRDefault="0066397B" w:rsidP="0066397B">
      <w:pPr>
        <w:ind w:left="360" w:right="1440"/>
        <w:jc w:val="both"/>
        <w:rPr>
          <w:rFonts w:cs="Arial"/>
          <w:sz w:val="24"/>
          <w:szCs w:val="24"/>
        </w:rPr>
      </w:pPr>
    </w:p>
    <w:p w:rsidR="0066397B" w:rsidRPr="0042177E" w:rsidRDefault="0066397B" w:rsidP="0066397B">
      <w:pPr>
        <w:ind w:left="1800" w:right="2160"/>
        <w:jc w:val="both"/>
        <w:rPr>
          <w:rFonts w:cs="Arial"/>
          <w:sz w:val="24"/>
          <w:szCs w:val="24"/>
        </w:rPr>
      </w:pPr>
      <w:r w:rsidRPr="0042177E">
        <w:rPr>
          <w:rFonts w:cs="Arial"/>
          <w:sz w:val="24"/>
          <w:szCs w:val="24"/>
        </w:rPr>
        <w:t>a.</w:t>
      </w:r>
      <w:r w:rsidRPr="0042177E">
        <w:rPr>
          <w:rFonts w:cs="Arial"/>
          <w:sz w:val="24"/>
          <w:szCs w:val="24"/>
        </w:rPr>
        <w:tab/>
        <w:t xml:space="preserve">The name, training, experience, and certification of the person who manages the laboratory and of all persons who handled, processed, and tested material in erroneous reported </w:t>
      </w:r>
      <w:r w:rsidR="003B3CD2">
        <w:rPr>
          <w:rFonts w:cs="Arial"/>
          <w:sz w:val="24"/>
          <w:szCs w:val="24"/>
        </w:rPr>
        <w:t>alcohol</w:t>
      </w:r>
      <w:r w:rsidRPr="0042177E">
        <w:rPr>
          <w:rFonts w:cs="Arial"/>
          <w:sz w:val="24"/>
          <w:szCs w:val="24"/>
        </w:rPr>
        <w:t xml:space="preserve"> blood results and the </w:t>
      </w:r>
      <w:proofErr w:type="spellStart"/>
      <w:r w:rsidR="003B3CD2">
        <w:rPr>
          <w:rFonts w:cs="Arial"/>
          <w:sz w:val="24"/>
          <w:szCs w:val="24"/>
        </w:rPr>
        <w:t>Tox</w:t>
      </w:r>
      <w:proofErr w:type="spellEnd"/>
      <w:r w:rsidRPr="0042177E">
        <w:rPr>
          <w:rFonts w:cs="Arial"/>
          <w:sz w:val="24"/>
          <w:szCs w:val="24"/>
        </w:rPr>
        <w:t xml:space="preserve"> Lab.</w:t>
      </w:r>
    </w:p>
    <w:p w:rsidR="0066397B" w:rsidRPr="0042177E" w:rsidRDefault="0066397B" w:rsidP="0066397B">
      <w:pPr>
        <w:ind w:left="1800" w:right="2160"/>
        <w:jc w:val="both"/>
        <w:rPr>
          <w:rFonts w:cs="Arial"/>
          <w:sz w:val="24"/>
          <w:szCs w:val="24"/>
        </w:rPr>
      </w:pPr>
      <w:r w:rsidRPr="0042177E">
        <w:rPr>
          <w:rFonts w:cs="Arial"/>
          <w:sz w:val="24"/>
          <w:szCs w:val="24"/>
        </w:rPr>
        <w:t>b.</w:t>
      </w:r>
      <w:r w:rsidRPr="0042177E">
        <w:rPr>
          <w:rFonts w:cs="Arial"/>
          <w:sz w:val="24"/>
          <w:szCs w:val="24"/>
        </w:rPr>
        <w:tab/>
        <w:t xml:space="preserve">Certificates of compliance with accrediting agencies for the previous five years for the </w:t>
      </w:r>
      <w:proofErr w:type="spellStart"/>
      <w:r w:rsidR="003B3CD2">
        <w:rPr>
          <w:rFonts w:cs="Arial"/>
          <w:sz w:val="24"/>
          <w:szCs w:val="24"/>
        </w:rPr>
        <w:t>Tox</w:t>
      </w:r>
      <w:proofErr w:type="spellEnd"/>
      <w:r w:rsidRPr="0042177E">
        <w:rPr>
          <w:rFonts w:cs="Arial"/>
          <w:sz w:val="24"/>
          <w:szCs w:val="24"/>
        </w:rPr>
        <w:t xml:space="preserve"> Lab.</w:t>
      </w:r>
    </w:p>
    <w:p w:rsidR="0066397B" w:rsidRPr="0042177E" w:rsidRDefault="0066397B" w:rsidP="0066397B">
      <w:pPr>
        <w:ind w:left="1800" w:right="2160"/>
        <w:jc w:val="both"/>
        <w:rPr>
          <w:rFonts w:cs="Arial"/>
          <w:sz w:val="24"/>
          <w:szCs w:val="24"/>
        </w:rPr>
      </w:pPr>
      <w:r w:rsidRPr="0042177E">
        <w:rPr>
          <w:rFonts w:cs="Arial"/>
          <w:sz w:val="24"/>
          <w:szCs w:val="24"/>
        </w:rPr>
        <w:t>c.</w:t>
      </w:r>
      <w:r w:rsidRPr="0042177E">
        <w:rPr>
          <w:rFonts w:cs="Arial"/>
          <w:sz w:val="24"/>
          <w:szCs w:val="24"/>
        </w:rPr>
        <w:tab/>
        <w:t xml:space="preserve">Internal audits, logs, and reports concerning blood alcohol testing for the last two years for the </w:t>
      </w:r>
      <w:proofErr w:type="spellStart"/>
      <w:r w:rsidR="003B3CD2">
        <w:rPr>
          <w:rFonts w:cs="Arial"/>
          <w:sz w:val="24"/>
          <w:szCs w:val="24"/>
        </w:rPr>
        <w:t>Tox</w:t>
      </w:r>
      <w:proofErr w:type="spellEnd"/>
      <w:r w:rsidRPr="0042177E">
        <w:rPr>
          <w:rFonts w:cs="Arial"/>
          <w:sz w:val="24"/>
          <w:szCs w:val="24"/>
        </w:rPr>
        <w:t xml:space="preserve"> Lab.</w:t>
      </w:r>
    </w:p>
    <w:p w:rsidR="0066397B" w:rsidRPr="0042177E" w:rsidRDefault="0066397B" w:rsidP="0066397B">
      <w:pPr>
        <w:ind w:left="1800" w:right="2160"/>
        <w:jc w:val="both"/>
        <w:rPr>
          <w:rFonts w:cs="Arial"/>
          <w:sz w:val="24"/>
          <w:szCs w:val="24"/>
        </w:rPr>
      </w:pPr>
      <w:r w:rsidRPr="0042177E">
        <w:rPr>
          <w:rFonts w:cs="Arial"/>
          <w:sz w:val="24"/>
          <w:szCs w:val="24"/>
        </w:rPr>
        <w:t>d.</w:t>
      </w:r>
      <w:r w:rsidRPr="0042177E">
        <w:rPr>
          <w:rFonts w:cs="Arial"/>
          <w:sz w:val="24"/>
          <w:szCs w:val="24"/>
        </w:rPr>
        <w:tab/>
        <w:t xml:space="preserve">The litigation packets of any blood alcohol results deemed to be “erroneous” from the </w:t>
      </w:r>
      <w:proofErr w:type="spellStart"/>
      <w:r w:rsidR="003B3CD2">
        <w:rPr>
          <w:rFonts w:cs="Arial"/>
          <w:sz w:val="24"/>
          <w:szCs w:val="24"/>
        </w:rPr>
        <w:t>Tox</w:t>
      </w:r>
      <w:proofErr w:type="spellEnd"/>
      <w:r w:rsidRPr="0042177E">
        <w:rPr>
          <w:rFonts w:cs="Arial"/>
          <w:sz w:val="24"/>
          <w:szCs w:val="24"/>
        </w:rPr>
        <w:t xml:space="preserve"> Lab.</w:t>
      </w:r>
    </w:p>
    <w:p w:rsidR="0066397B" w:rsidRPr="0042177E" w:rsidRDefault="0066397B" w:rsidP="0066397B">
      <w:pPr>
        <w:ind w:left="360" w:right="1440"/>
        <w:jc w:val="both"/>
        <w:rPr>
          <w:rFonts w:cs="Arial"/>
          <w:sz w:val="24"/>
          <w:szCs w:val="24"/>
        </w:rPr>
      </w:pPr>
    </w:p>
    <w:p w:rsidR="0066397B" w:rsidRPr="0042177E" w:rsidRDefault="0066397B" w:rsidP="0066397B">
      <w:pPr>
        <w:numPr>
          <w:ilvl w:val="0"/>
          <w:numId w:val="4"/>
        </w:numPr>
        <w:tabs>
          <w:tab w:val="clear" w:pos="720"/>
          <w:tab w:val="clear" w:pos="1440"/>
          <w:tab w:val="clear" w:pos="2160"/>
          <w:tab w:val="clear" w:pos="5040"/>
        </w:tabs>
        <w:ind w:right="1440"/>
        <w:jc w:val="both"/>
        <w:rPr>
          <w:rFonts w:cs="Arial"/>
          <w:sz w:val="24"/>
          <w:szCs w:val="24"/>
        </w:rPr>
      </w:pPr>
      <w:r w:rsidRPr="0042177E">
        <w:rPr>
          <w:rFonts w:cs="Arial"/>
          <w:sz w:val="24"/>
          <w:szCs w:val="24"/>
        </w:rPr>
        <w:t xml:space="preserve">Pursuant to the CDPHE (Colorado Department of Public Health and Environment) regulations, provide the following information for the blood alcohol tests at the </w:t>
      </w:r>
      <w:proofErr w:type="spellStart"/>
      <w:r w:rsidR="00792F25">
        <w:rPr>
          <w:rFonts w:cs="Arial"/>
          <w:sz w:val="24"/>
          <w:szCs w:val="24"/>
        </w:rPr>
        <w:t>Tox</w:t>
      </w:r>
      <w:proofErr w:type="spellEnd"/>
      <w:r w:rsidRPr="0042177E">
        <w:rPr>
          <w:rFonts w:cs="Arial"/>
          <w:sz w:val="24"/>
          <w:szCs w:val="24"/>
        </w:rPr>
        <w:t xml:space="preserve"> Lab</w:t>
      </w:r>
      <w:r w:rsidR="003B3CD2">
        <w:rPr>
          <w:rFonts w:cs="Arial"/>
          <w:sz w:val="24"/>
          <w:szCs w:val="24"/>
        </w:rPr>
        <w:t xml:space="preserve"> for the last two years,</w:t>
      </w:r>
      <w:r w:rsidRPr="0042177E">
        <w:rPr>
          <w:rFonts w:cs="Arial"/>
          <w:sz w:val="24"/>
          <w:szCs w:val="24"/>
        </w:rPr>
        <w:t xml:space="preserve"> to include: </w:t>
      </w:r>
    </w:p>
    <w:p w:rsidR="0066397B" w:rsidRPr="0042177E" w:rsidRDefault="0066397B" w:rsidP="0066397B">
      <w:pPr>
        <w:ind w:left="360" w:right="1440"/>
        <w:jc w:val="both"/>
        <w:rPr>
          <w:rFonts w:cs="Arial"/>
          <w:sz w:val="24"/>
          <w:szCs w:val="24"/>
        </w:rPr>
      </w:pPr>
    </w:p>
    <w:p w:rsidR="0066397B" w:rsidRPr="0042177E" w:rsidRDefault="0066397B" w:rsidP="0066397B">
      <w:pPr>
        <w:ind w:left="1800" w:right="1440"/>
        <w:jc w:val="both"/>
        <w:rPr>
          <w:rFonts w:cs="Arial"/>
          <w:sz w:val="24"/>
          <w:szCs w:val="24"/>
        </w:rPr>
      </w:pPr>
      <w:r w:rsidRPr="0042177E">
        <w:rPr>
          <w:rFonts w:cs="Arial"/>
          <w:sz w:val="24"/>
          <w:szCs w:val="24"/>
        </w:rPr>
        <w:t>a.</w:t>
      </w:r>
      <w:r w:rsidRPr="0042177E">
        <w:rPr>
          <w:rFonts w:cs="Arial"/>
          <w:sz w:val="24"/>
          <w:szCs w:val="24"/>
        </w:rPr>
        <w:tab/>
        <w:t>Personnel qualifications, to include curriculum vitae’s.</w:t>
      </w:r>
    </w:p>
    <w:p w:rsidR="0066397B" w:rsidRPr="0042177E" w:rsidRDefault="0066397B" w:rsidP="0066397B">
      <w:pPr>
        <w:ind w:left="1800" w:right="1440"/>
        <w:jc w:val="both"/>
        <w:rPr>
          <w:rFonts w:cs="Arial"/>
          <w:sz w:val="24"/>
          <w:szCs w:val="24"/>
        </w:rPr>
      </w:pPr>
      <w:r w:rsidRPr="0042177E">
        <w:rPr>
          <w:rFonts w:cs="Arial"/>
          <w:sz w:val="24"/>
          <w:szCs w:val="24"/>
        </w:rPr>
        <w:t>b.</w:t>
      </w:r>
      <w:r w:rsidRPr="0042177E">
        <w:rPr>
          <w:rFonts w:cs="Arial"/>
          <w:sz w:val="24"/>
          <w:szCs w:val="24"/>
        </w:rPr>
        <w:tab/>
        <w:t xml:space="preserve">Standard operating procedure manual for testing blood for alcohol for the </w:t>
      </w:r>
      <w:proofErr w:type="spellStart"/>
      <w:r w:rsidR="003B3CD2">
        <w:rPr>
          <w:rFonts w:cs="Arial"/>
          <w:sz w:val="24"/>
          <w:szCs w:val="24"/>
        </w:rPr>
        <w:t>Tox</w:t>
      </w:r>
      <w:proofErr w:type="spellEnd"/>
      <w:r w:rsidRPr="0042177E">
        <w:rPr>
          <w:rFonts w:cs="Arial"/>
          <w:sz w:val="24"/>
          <w:szCs w:val="24"/>
        </w:rPr>
        <w:t xml:space="preserve"> Lab.</w:t>
      </w:r>
    </w:p>
    <w:p w:rsidR="0066397B" w:rsidRPr="0042177E" w:rsidRDefault="0066397B" w:rsidP="0066397B">
      <w:pPr>
        <w:ind w:left="1800" w:right="1440"/>
        <w:jc w:val="both"/>
        <w:rPr>
          <w:rFonts w:cs="Arial"/>
          <w:sz w:val="24"/>
          <w:szCs w:val="24"/>
        </w:rPr>
      </w:pPr>
      <w:r w:rsidRPr="0042177E">
        <w:rPr>
          <w:rFonts w:cs="Arial"/>
          <w:sz w:val="24"/>
          <w:szCs w:val="24"/>
        </w:rPr>
        <w:t>c.</w:t>
      </w:r>
      <w:r w:rsidRPr="0042177E">
        <w:rPr>
          <w:rFonts w:cs="Arial"/>
          <w:sz w:val="24"/>
          <w:szCs w:val="24"/>
        </w:rPr>
        <w:tab/>
        <w:t xml:space="preserve">Analytical process for the </w:t>
      </w:r>
      <w:proofErr w:type="spellStart"/>
      <w:r w:rsidR="003B3CD2">
        <w:rPr>
          <w:rFonts w:cs="Arial"/>
          <w:sz w:val="24"/>
          <w:szCs w:val="24"/>
        </w:rPr>
        <w:t>Tox</w:t>
      </w:r>
      <w:proofErr w:type="spellEnd"/>
      <w:r w:rsidRPr="0042177E">
        <w:rPr>
          <w:rFonts w:cs="Arial"/>
          <w:sz w:val="24"/>
          <w:szCs w:val="24"/>
        </w:rPr>
        <w:t xml:space="preserve"> Lab blood alcohol testing.</w:t>
      </w:r>
    </w:p>
    <w:p w:rsidR="0066397B" w:rsidRPr="0042177E" w:rsidRDefault="0066397B" w:rsidP="0066397B">
      <w:pPr>
        <w:ind w:left="1800" w:right="1440"/>
        <w:jc w:val="both"/>
        <w:rPr>
          <w:rFonts w:cs="Arial"/>
          <w:sz w:val="24"/>
          <w:szCs w:val="24"/>
        </w:rPr>
      </w:pPr>
      <w:r w:rsidRPr="0042177E">
        <w:rPr>
          <w:rFonts w:cs="Arial"/>
          <w:sz w:val="24"/>
          <w:szCs w:val="24"/>
        </w:rPr>
        <w:t>d.</w:t>
      </w:r>
      <w:r w:rsidRPr="0042177E">
        <w:rPr>
          <w:rFonts w:cs="Arial"/>
          <w:sz w:val="24"/>
          <w:szCs w:val="24"/>
        </w:rPr>
        <w:tab/>
        <w:t xml:space="preserve">Proficiency testing for the </w:t>
      </w:r>
      <w:proofErr w:type="spellStart"/>
      <w:r w:rsidR="003B3CD2">
        <w:rPr>
          <w:rFonts w:cs="Arial"/>
          <w:sz w:val="24"/>
          <w:szCs w:val="24"/>
        </w:rPr>
        <w:t>Tox</w:t>
      </w:r>
      <w:proofErr w:type="spellEnd"/>
      <w:r w:rsidRPr="0042177E">
        <w:rPr>
          <w:rFonts w:cs="Arial"/>
          <w:sz w:val="24"/>
          <w:szCs w:val="24"/>
        </w:rPr>
        <w:t xml:space="preserve"> Lab blood alcohol testing.</w:t>
      </w:r>
    </w:p>
    <w:p w:rsidR="0066397B" w:rsidRPr="0042177E" w:rsidRDefault="0066397B" w:rsidP="0066397B">
      <w:pPr>
        <w:ind w:left="1800" w:right="1440"/>
        <w:jc w:val="both"/>
        <w:rPr>
          <w:rFonts w:cs="Arial"/>
          <w:sz w:val="24"/>
          <w:szCs w:val="24"/>
        </w:rPr>
      </w:pPr>
      <w:r w:rsidRPr="0042177E">
        <w:rPr>
          <w:rFonts w:cs="Arial"/>
          <w:sz w:val="24"/>
          <w:szCs w:val="24"/>
        </w:rPr>
        <w:t>e.</w:t>
      </w:r>
      <w:r w:rsidRPr="0042177E">
        <w:rPr>
          <w:rFonts w:cs="Arial"/>
          <w:sz w:val="24"/>
          <w:szCs w:val="24"/>
        </w:rPr>
        <w:tab/>
        <w:t xml:space="preserve">Quality control for the </w:t>
      </w:r>
      <w:proofErr w:type="spellStart"/>
      <w:r w:rsidR="003B3CD2">
        <w:rPr>
          <w:rFonts w:cs="Arial"/>
          <w:sz w:val="24"/>
          <w:szCs w:val="24"/>
        </w:rPr>
        <w:t>Tox</w:t>
      </w:r>
      <w:proofErr w:type="spellEnd"/>
      <w:r w:rsidRPr="0042177E">
        <w:rPr>
          <w:rFonts w:cs="Arial"/>
          <w:sz w:val="24"/>
          <w:szCs w:val="24"/>
        </w:rPr>
        <w:t xml:space="preserve"> Lab blood alcohol testing.</w:t>
      </w:r>
    </w:p>
    <w:p w:rsidR="0066397B" w:rsidRPr="0042177E" w:rsidRDefault="0066397B" w:rsidP="0066397B">
      <w:pPr>
        <w:ind w:left="1800" w:right="1440"/>
        <w:jc w:val="both"/>
        <w:rPr>
          <w:rFonts w:cs="Arial"/>
          <w:sz w:val="24"/>
          <w:szCs w:val="24"/>
        </w:rPr>
      </w:pPr>
      <w:r w:rsidRPr="0042177E">
        <w:rPr>
          <w:rFonts w:cs="Arial"/>
          <w:sz w:val="24"/>
          <w:szCs w:val="24"/>
        </w:rPr>
        <w:t>f.</w:t>
      </w:r>
      <w:r w:rsidRPr="0042177E">
        <w:rPr>
          <w:rFonts w:cs="Arial"/>
          <w:sz w:val="24"/>
          <w:szCs w:val="24"/>
        </w:rPr>
        <w:tab/>
        <w:t xml:space="preserve">Security for the </w:t>
      </w:r>
      <w:proofErr w:type="spellStart"/>
      <w:r w:rsidR="003469F9">
        <w:rPr>
          <w:rFonts w:cs="Arial"/>
          <w:sz w:val="24"/>
          <w:szCs w:val="24"/>
        </w:rPr>
        <w:t>Tox</w:t>
      </w:r>
      <w:proofErr w:type="spellEnd"/>
      <w:r w:rsidRPr="0042177E">
        <w:rPr>
          <w:rFonts w:cs="Arial"/>
          <w:sz w:val="24"/>
          <w:szCs w:val="24"/>
        </w:rPr>
        <w:t xml:space="preserve"> Lab blood alcohol testing.</w:t>
      </w:r>
    </w:p>
    <w:p w:rsidR="0066397B" w:rsidRPr="0042177E" w:rsidRDefault="0066397B" w:rsidP="0066397B">
      <w:pPr>
        <w:ind w:left="1800" w:right="1440"/>
        <w:jc w:val="both"/>
        <w:rPr>
          <w:rFonts w:cs="Arial"/>
          <w:sz w:val="24"/>
          <w:szCs w:val="24"/>
        </w:rPr>
      </w:pPr>
      <w:r w:rsidRPr="0042177E">
        <w:rPr>
          <w:rFonts w:cs="Arial"/>
          <w:sz w:val="24"/>
          <w:szCs w:val="24"/>
        </w:rPr>
        <w:lastRenderedPageBreak/>
        <w:t>g.</w:t>
      </w:r>
      <w:r w:rsidRPr="0042177E">
        <w:rPr>
          <w:rFonts w:cs="Arial"/>
          <w:sz w:val="24"/>
          <w:szCs w:val="24"/>
        </w:rPr>
        <w:tab/>
        <w:t xml:space="preserve">Chain of custody procedure for blood alcohol testing for the </w:t>
      </w:r>
      <w:proofErr w:type="spellStart"/>
      <w:r w:rsidR="003469F9">
        <w:rPr>
          <w:rFonts w:cs="Arial"/>
          <w:sz w:val="24"/>
          <w:szCs w:val="24"/>
        </w:rPr>
        <w:t>Tox</w:t>
      </w:r>
      <w:proofErr w:type="spellEnd"/>
      <w:r w:rsidRPr="0042177E">
        <w:rPr>
          <w:rFonts w:cs="Arial"/>
          <w:sz w:val="24"/>
          <w:szCs w:val="24"/>
        </w:rPr>
        <w:t xml:space="preserve"> Lab.</w:t>
      </w:r>
    </w:p>
    <w:p w:rsidR="0066397B" w:rsidRPr="0042177E" w:rsidRDefault="0066397B" w:rsidP="0066397B">
      <w:pPr>
        <w:ind w:left="1800" w:right="1440"/>
        <w:jc w:val="both"/>
        <w:rPr>
          <w:rFonts w:cs="Arial"/>
          <w:sz w:val="24"/>
          <w:szCs w:val="24"/>
        </w:rPr>
      </w:pPr>
      <w:r w:rsidRPr="0042177E">
        <w:rPr>
          <w:rFonts w:cs="Arial"/>
          <w:sz w:val="24"/>
          <w:szCs w:val="24"/>
        </w:rPr>
        <w:t>h.</w:t>
      </w:r>
      <w:r w:rsidRPr="0042177E">
        <w:rPr>
          <w:rFonts w:cs="Arial"/>
          <w:sz w:val="24"/>
          <w:szCs w:val="24"/>
        </w:rPr>
        <w:tab/>
        <w:t xml:space="preserve">Specimen retention for blood alcohol tests at the </w:t>
      </w:r>
      <w:proofErr w:type="spellStart"/>
      <w:r w:rsidR="003469F9">
        <w:rPr>
          <w:rFonts w:cs="Arial"/>
          <w:sz w:val="24"/>
          <w:szCs w:val="24"/>
        </w:rPr>
        <w:t>Tox</w:t>
      </w:r>
      <w:proofErr w:type="spellEnd"/>
      <w:r w:rsidRPr="0042177E">
        <w:rPr>
          <w:rFonts w:cs="Arial"/>
          <w:sz w:val="24"/>
          <w:szCs w:val="24"/>
        </w:rPr>
        <w:t xml:space="preserve"> Lab.</w:t>
      </w:r>
    </w:p>
    <w:p w:rsidR="0066397B" w:rsidRPr="0042177E" w:rsidRDefault="0066397B" w:rsidP="0066397B">
      <w:pPr>
        <w:ind w:left="1800" w:right="1440"/>
        <w:jc w:val="both"/>
        <w:rPr>
          <w:rFonts w:cs="Arial"/>
          <w:sz w:val="24"/>
          <w:szCs w:val="24"/>
        </w:rPr>
      </w:pPr>
      <w:proofErr w:type="spellStart"/>
      <w:r w:rsidRPr="0042177E">
        <w:rPr>
          <w:rFonts w:cs="Arial"/>
          <w:sz w:val="24"/>
          <w:szCs w:val="24"/>
        </w:rPr>
        <w:t>i</w:t>
      </w:r>
      <w:proofErr w:type="spellEnd"/>
      <w:r w:rsidRPr="0042177E">
        <w:rPr>
          <w:rFonts w:cs="Arial"/>
          <w:sz w:val="24"/>
          <w:szCs w:val="24"/>
        </w:rPr>
        <w:t>.</w:t>
      </w:r>
      <w:r w:rsidRPr="0042177E">
        <w:rPr>
          <w:rFonts w:cs="Arial"/>
          <w:sz w:val="24"/>
          <w:szCs w:val="24"/>
        </w:rPr>
        <w:tab/>
        <w:t xml:space="preserve">Records for any errors discovered for blood alcohol testing at the </w:t>
      </w:r>
      <w:proofErr w:type="spellStart"/>
      <w:r w:rsidR="003469F9">
        <w:rPr>
          <w:rFonts w:cs="Arial"/>
          <w:sz w:val="24"/>
          <w:szCs w:val="24"/>
        </w:rPr>
        <w:t>Tox</w:t>
      </w:r>
      <w:proofErr w:type="spellEnd"/>
      <w:r w:rsidRPr="0042177E">
        <w:rPr>
          <w:rFonts w:cs="Arial"/>
          <w:sz w:val="24"/>
          <w:szCs w:val="24"/>
        </w:rPr>
        <w:t xml:space="preserve"> Lab.</w:t>
      </w:r>
    </w:p>
    <w:p w:rsidR="0066397B" w:rsidRDefault="0066397B" w:rsidP="0066397B">
      <w:pPr>
        <w:ind w:left="1800" w:right="1440"/>
        <w:jc w:val="both"/>
        <w:rPr>
          <w:rFonts w:cs="Arial"/>
          <w:sz w:val="24"/>
          <w:szCs w:val="24"/>
        </w:rPr>
      </w:pPr>
      <w:r w:rsidRPr="0042177E">
        <w:rPr>
          <w:rFonts w:cs="Arial"/>
          <w:sz w:val="24"/>
          <w:szCs w:val="24"/>
        </w:rPr>
        <w:t>j.</w:t>
      </w:r>
      <w:r w:rsidRPr="0042177E">
        <w:rPr>
          <w:rFonts w:cs="Arial"/>
          <w:sz w:val="24"/>
          <w:szCs w:val="24"/>
        </w:rPr>
        <w:tab/>
        <w:t xml:space="preserve">Results reporting for blood alcohol testing at the </w:t>
      </w:r>
      <w:proofErr w:type="spellStart"/>
      <w:r w:rsidR="003469F9">
        <w:rPr>
          <w:rFonts w:cs="Arial"/>
          <w:sz w:val="24"/>
          <w:szCs w:val="24"/>
        </w:rPr>
        <w:t>Tox</w:t>
      </w:r>
      <w:proofErr w:type="spellEnd"/>
      <w:r w:rsidRPr="0042177E">
        <w:rPr>
          <w:rFonts w:cs="Arial"/>
          <w:sz w:val="24"/>
          <w:szCs w:val="24"/>
        </w:rPr>
        <w:t xml:space="preserve"> Lab.</w:t>
      </w:r>
    </w:p>
    <w:p w:rsidR="0066397B" w:rsidRDefault="0066397B" w:rsidP="0066397B">
      <w:pPr>
        <w:ind w:left="1800" w:right="1440"/>
        <w:jc w:val="both"/>
        <w:rPr>
          <w:rFonts w:cs="Arial"/>
          <w:sz w:val="24"/>
          <w:szCs w:val="24"/>
        </w:rPr>
      </w:pPr>
    </w:p>
    <w:p w:rsidR="0066397B" w:rsidRPr="0066397B" w:rsidRDefault="0066397B" w:rsidP="0066397B">
      <w:pPr>
        <w:pStyle w:val="ListParagraph"/>
        <w:numPr>
          <w:ilvl w:val="0"/>
          <w:numId w:val="5"/>
        </w:numPr>
        <w:ind w:left="1440"/>
        <w:jc w:val="both"/>
        <w:rPr>
          <w:rFonts w:cs="Arial"/>
          <w:sz w:val="24"/>
          <w:szCs w:val="24"/>
        </w:rPr>
      </w:pPr>
      <w:r>
        <w:t>All records concerning the laboratory's internal investigations from 2010 to the present bearing on the accuracy and reliability of chemical BAC tests</w:t>
      </w:r>
    </w:p>
    <w:p w:rsidR="0066397B" w:rsidRDefault="0066397B" w:rsidP="0066397B">
      <w:pPr>
        <w:ind w:left="1440"/>
        <w:jc w:val="both"/>
      </w:pPr>
    </w:p>
    <w:p w:rsidR="0066397B" w:rsidRDefault="0066397B" w:rsidP="0066397B">
      <w:pPr>
        <w:numPr>
          <w:ilvl w:val="0"/>
          <w:numId w:val="2"/>
        </w:numPr>
        <w:tabs>
          <w:tab w:val="clear" w:pos="720"/>
          <w:tab w:val="clear" w:pos="1440"/>
          <w:tab w:val="clear" w:pos="2160"/>
          <w:tab w:val="clear" w:pos="5040"/>
        </w:tabs>
        <w:jc w:val="both"/>
      </w:pPr>
      <w:r>
        <w:t>All records concerning corrective actions taken or devised to remedy laboratory error subsequent to the investigation concerning Mitchell Fox-Rivera, and subsequent to other investigations since 2010</w:t>
      </w:r>
    </w:p>
    <w:p w:rsidR="0066397B" w:rsidRDefault="0066397B" w:rsidP="0066397B">
      <w:pPr>
        <w:jc w:val="both"/>
      </w:pPr>
    </w:p>
    <w:p w:rsidR="0066397B" w:rsidRDefault="0066397B" w:rsidP="0066397B">
      <w:pPr>
        <w:numPr>
          <w:ilvl w:val="0"/>
          <w:numId w:val="2"/>
        </w:numPr>
        <w:tabs>
          <w:tab w:val="clear" w:pos="720"/>
          <w:tab w:val="clear" w:pos="1440"/>
          <w:tab w:val="clear" w:pos="2160"/>
          <w:tab w:val="clear" w:pos="5040"/>
        </w:tabs>
        <w:jc w:val="both"/>
      </w:pPr>
      <w:r>
        <w:t>Records of performance reviews and reports concerning Mitchell Fox-Rivera, as well as any records of responses by him or his representative</w:t>
      </w:r>
    </w:p>
    <w:p w:rsidR="0066397B" w:rsidRDefault="0066397B" w:rsidP="0066397B">
      <w:pPr>
        <w:jc w:val="both"/>
      </w:pPr>
    </w:p>
    <w:p w:rsidR="0066397B" w:rsidRDefault="0066397B" w:rsidP="0066397B">
      <w:pPr>
        <w:numPr>
          <w:ilvl w:val="0"/>
          <w:numId w:val="2"/>
        </w:numPr>
        <w:tabs>
          <w:tab w:val="clear" w:pos="720"/>
          <w:tab w:val="clear" w:pos="1440"/>
          <w:tab w:val="clear" w:pos="2160"/>
          <w:tab w:val="clear" w:pos="5040"/>
        </w:tabs>
        <w:jc w:val="both"/>
      </w:pPr>
      <w:r>
        <w:t xml:space="preserve">Any correspondence with, or reports made to, any agency or organization providing the CDPHE Laboratory with any certification, license or accreditation, or to which the CDPHE has applied for the same in the past five  years, reporting the mistakes referenced in Ms. </w:t>
      </w:r>
      <w:proofErr w:type="spellStart"/>
      <w:r>
        <w:t>Burbach’s</w:t>
      </w:r>
      <w:proofErr w:type="spellEnd"/>
      <w:r>
        <w:t xml:space="preserve"> e-mail</w:t>
      </w:r>
    </w:p>
    <w:p w:rsidR="0066397B" w:rsidRDefault="0066397B" w:rsidP="0066397B">
      <w:pPr>
        <w:jc w:val="both"/>
      </w:pPr>
    </w:p>
    <w:p w:rsidR="0066397B" w:rsidRDefault="0066397B" w:rsidP="0066397B">
      <w:pPr>
        <w:numPr>
          <w:ilvl w:val="0"/>
          <w:numId w:val="2"/>
        </w:numPr>
        <w:tabs>
          <w:tab w:val="clear" w:pos="720"/>
          <w:tab w:val="clear" w:pos="1440"/>
          <w:tab w:val="clear" w:pos="2160"/>
          <w:tab w:val="clear" w:pos="5040"/>
        </w:tabs>
        <w:jc w:val="both"/>
      </w:pPr>
      <w:r>
        <w:t xml:space="preserve">Any protocol of the laboratory for informing prosecutors or defense counsel in individual cases when laboratory errors are detected </w:t>
      </w:r>
    </w:p>
    <w:p w:rsidR="0066397B" w:rsidRPr="007471F8" w:rsidRDefault="0066397B" w:rsidP="004B1319">
      <w:pPr>
        <w:pStyle w:val="BodyText"/>
        <w:rPr>
          <w:rFonts w:ascii="Arial" w:hAnsi="Arial" w:cs="Arial"/>
          <w:b w:val="0"/>
          <w:sz w:val="24"/>
          <w:szCs w:val="24"/>
        </w:rPr>
      </w:pPr>
    </w:p>
    <w:sectPr w:rsidR="0066397B" w:rsidRPr="007471F8" w:rsidSect="00F777E6">
      <w:pgSz w:w="12240" w:h="15840" w:code="1"/>
      <w:pgMar w:top="1440" w:right="1800" w:bottom="1440" w:left="1800" w:header="720" w:footer="720" w:gutter="0"/>
      <w:cols w:space="720"/>
      <w:docGrid w:linePitch="354"/>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C7A25"/>
    <w:multiLevelType w:val="hybridMultilevel"/>
    <w:tmpl w:val="33303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C146380"/>
    <w:multiLevelType w:val="hybridMultilevel"/>
    <w:tmpl w:val="0088A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440FDD"/>
    <w:multiLevelType w:val="hybridMultilevel"/>
    <w:tmpl w:val="3FFCF242"/>
    <w:lvl w:ilvl="0" w:tplc="BC06BAF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44EB302E"/>
    <w:multiLevelType w:val="hybridMultilevel"/>
    <w:tmpl w:val="15E201E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6AF17F9C"/>
    <w:multiLevelType w:val="hybridMultilevel"/>
    <w:tmpl w:val="9D8EB806"/>
    <w:lvl w:ilvl="0" w:tplc="BC06BAF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7" w:nlCheck="1" w:checkStyle="1"/>
  <w:activeWritingStyle w:appName="MSWord" w:lang="en-US" w:vendorID="64" w:dllVersion="131078" w:nlCheck="1" w:checkStyle="1"/>
  <w:proofState w:spelling="clean" w:grammar="clean"/>
  <w:stylePaneFormatFilter w:val="3F01"/>
  <w:defaultTabStop w:val="720"/>
  <w:drawingGridHorizontalSpacing w:val="130"/>
  <w:drawingGridVerticalSpacing w:val="42"/>
  <w:displayHorizontalDrawingGridEvery w:val="0"/>
  <w:displayVerticalDrawingGridEvery w:val="2"/>
  <w:noPunctuationKerning/>
  <w:characterSpacingControl w:val="doNotCompress"/>
  <w:compat>
    <w:ulTrailSpace/>
  </w:compat>
  <w:rsids>
    <w:rsidRoot w:val="00C33DF7"/>
    <w:rsid w:val="000A1EB3"/>
    <w:rsid w:val="000F6007"/>
    <w:rsid w:val="001309AE"/>
    <w:rsid w:val="001A4312"/>
    <w:rsid w:val="001B441F"/>
    <w:rsid w:val="001C39D6"/>
    <w:rsid w:val="001C7827"/>
    <w:rsid w:val="001F1A0B"/>
    <w:rsid w:val="002151FF"/>
    <w:rsid w:val="002156B7"/>
    <w:rsid w:val="00227E99"/>
    <w:rsid w:val="002958B6"/>
    <w:rsid w:val="002A6E97"/>
    <w:rsid w:val="002C5EE0"/>
    <w:rsid w:val="003041CB"/>
    <w:rsid w:val="003278DF"/>
    <w:rsid w:val="003469F9"/>
    <w:rsid w:val="00351F48"/>
    <w:rsid w:val="003804F5"/>
    <w:rsid w:val="003B3CD2"/>
    <w:rsid w:val="0042396D"/>
    <w:rsid w:val="00433F4C"/>
    <w:rsid w:val="004946B9"/>
    <w:rsid w:val="00497383"/>
    <w:rsid w:val="004B1309"/>
    <w:rsid w:val="004B1319"/>
    <w:rsid w:val="00544CEE"/>
    <w:rsid w:val="005B1F56"/>
    <w:rsid w:val="00616EA0"/>
    <w:rsid w:val="00623F34"/>
    <w:rsid w:val="00626C88"/>
    <w:rsid w:val="00632228"/>
    <w:rsid w:val="0066397B"/>
    <w:rsid w:val="006F536E"/>
    <w:rsid w:val="00711173"/>
    <w:rsid w:val="007471F8"/>
    <w:rsid w:val="007570B0"/>
    <w:rsid w:val="00764952"/>
    <w:rsid w:val="00792F25"/>
    <w:rsid w:val="00795BB1"/>
    <w:rsid w:val="007C1849"/>
    <w:rsid w:val="007C322B"/>
    <w:rsid w:val="0083759A"/>
    <w:rsid w:val="00864264"/>
    <w:rsid w:val="008849B9"/>
    <w:rsid w:val="008B73BA"/>
    <w:rsid w:val="008F1480"/>
    <w:rsid w:val="008F61FE"/>
    <w:rsid w:val="009170C3"/>
    <w:rsid w:val="009373A4"/>
    <w:rsid w:val="00983F9E"/>
    <w:rsid w:val="009A6B81"/>
    <w:rsid w:val="009F5D21"/>
    <w:rsid w:val="00A15310"/>
    <w:rsid w:val="00A8675A"/>
    <w:rsid w:val="00A917E6"/>
    <w:rsid w:val="00A921E4"/>
    <w:rsid w:val="00AA024A"/>
    <w:rsid w:val="00AE6E28"/>
    <w:rsid w:val="00AF6112"/>
    <w:rsid w:val="00B55534"/>
    <w:rsid w:val="00C33DF7"/>
    <w:rsid w:val="00C537C2"/>
    <w:rsid w:val="00C60209"/>
    <w:rsid w:val="00CB6989"/>
    <w:rsid w:val="00CC5278"/>
    <w:rsid w:val="00CF5BBE"/>
    <w:rsid w:val="00D07F8C"/>
    <w:rsid w:val="00DA2FD9"/>
    <w:rsid w:val="00E35A7F"/>
    <w:rsid w:val="00EA5B2A"/>
    <w:rsid w:val="00EC47A9"/>
    <w:rsid w:val="00EF682F"/>
    <w:rsid w:val="00F02FE8"/>
    <w:rsid w:val="00F249D4"/>
    <w:rsid w:val="00F429FF"/>
    <w:rsid w:val="00F777E6"/>
    <w:rsid w:val="00F96FD6"/>
    <w:rsid w:val="00FA6B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41F"/>
    <w:pPr>
      <w:tabs>
        <w:tab w:val="left" w:pos="720"/>
        <w:tab w:val="left" w:pos="1440"/>
        <w:tab w:val="left" w:pos="2160"/>
        <w:tab w:val="left" w:pos="5040"/>
      </w:tabs>
    </w:pPr>
    <w:rPr>
      <w:rFonts w:ascii="Arial" w:hAnsi="Arial"/>
      <w:sz w:val="26"/>
    </w:rPr>
  </w:style>
  <w:style w:type="paragraph" w:styleId="Heading1">
    <w:name w:val="heading 1"/>
    <w:basedOn w:val="Normal"/>
    <w:next w:val="Normal"/>
    <w:qFormat/>
    <w:rsid w:val="001B441F"/>
    <w:pPr>
      <w:keepNext/>
      <w:pBdr>
        <w:top w:val="single" w:sz="4" w:space="0" w:color="auto"/>
        <w:left w:val="single" w:sz="4" w:space="4" w:color="auto"/>
        <w:bottom w:val="single" w:sz="4" w:space="8" w:color="auto"/>
        <w:right w:val="single" w:sz="4" w:space="0" w:color="auto"/>
      </w:pBdr>
      <w:jc w:val="center"/>
      <w:outlineLvl w:val="0"/>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B441F"/>
    <w:pPr>
      <w:tabs>
        <w:tab w:val="clear" w:pos="720"/>
        <w:tab w:val="clear" w:pos="1440"/>
        <w:tab w:val="clear" w:pos="2160"/>
        <w:tab w:val="clear" w:pos="5040"/>
      </w:tabs>
    </w:pPr>
    <w:rPr>
      <w:rFonts w:ascii="Times New Roman" w:hAnsi="Times New Roman"/>
      <w:b/>
      <w:sz w:val="20"/>
    </w:rPr>
  </w:style>
  <w:style w:type="paragraph" w:styleId="ListParagraph">
    <w:name w:val="List Paragraph"/>
    <w:basedOn w:val="Normal"/>
    <w:uiPriority w:val="34"/>
    <w:qFormat/>
    <w:rsid w:val="004B1319"/>
    <w:pPr>
      <w:ind w:left="720"/>
      <w:contextualSpacing/>
    </w:pPr>
  </w:style>
  <w:style w:type="paragraph" w:styleId="BalloonText">
    <w:name w:val="Balloon Text"/>
    <w:basedOn w:val="Normal"/>
    <w:link w:val="BalloonTextChar"/>
    <w:rsid w:val="004B1309"/>
    <w:rPr>
      <w:rFonts w:ascii="Tahoma" w:hAnsi="Tahoma" w:cs="Tahoma"/>
      <w:sz w:val="16"/>
      <w:szCs w:val="16"/>
    </w:rPr>
  </w:style>
  <w:style w:type="character" w:customStyle="1" w:styleId="BalloonTextChar">
    <w:name w:val="Balloon Text Char"/>
    <w:basedOn w:val="DefaultParagraphFont"/>
    <w:link w:val="BalloonText"/>
    <w:rsid w:val="004B13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2888</Words>
  <Characters>16462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Entry of Appearance El Paso</vt:lpstr>
    </vt:vector>
  </TitlesOfParts>
  <Company>Enoch &amp; Enoch, P.C.</Company>
  <LinksUpToDate>false</LinksUpToDate>
  <CharactersWithSpaces>19312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Entry of Appearance El Paso</dc:title>
  <dc:creator>Reception</dc:creator>
  <cp:lastModifiedBy>Rhidian Orr</cp:lastModifiedBy>
  <cp:revision>2</cp:revision>
  <cp:lastPrinted>2012-05-10T17:53:00Z</cp:lastPrinted>
  <dcterms:created xsi:type="dcterms:W3CDTF">2012-05-15T22:29:00Z</dcterms:created>
  <dcterms:modified xsi:type="dcterms:W3CDTF">2012-05-15T22:29:00Z</dcterms:modified>
</cp:coreProperties>
</file>